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7F2E3"/>
  <w:body>
    <w:p w14:paraId="058CF590" w14:textId="77777777" w:rsidR="00C20465" w:rsidRDefault="00C20465" w:rsidP="00C20465">
      <w:pPr>
        <w:pStyle w:val="Ttulo"/>
        <w:spacing w:after="90" w:line="283" w:lineRule="auto"/>
        <w:jc w:val="center"/>
        <w:rPr>
          <w:rFonts w:ascii="Georgia" w:eastAsia="Georgia" w:hAnsi="Georgia" w:cs="Georgia"/>
          <w:b/>
          <w:bCs/>
          <w:color w:val="331F1A"/>
          <w:sz w:val="40"/>
          <w:szCs w:val="40"/>
        </w:rPr>
      </w:pPr>
      <w:bookmarkStart w:id="0" w:name="_1z5zpg6raz04" w:colFirst="0" w:colLast="0"/>
      <w:bookmarkEnd w:id="0"/>
    </w:p>
    <w:p w14:paraId="7264E996" w14:textId="09405F19" w:rsidR="008409E4" w:rsidRDefault="00000000" w:rsidP="00C20465">
      <w:pPr>
        <w:pStyle w:val="Ttulo"/>
        <w:spacing w:after="90" w:line="283" w:lineRule="auto"/>
        <w:jc w:val="center"/>
        <w:rPr>
          <w:rFonts w:ascii="Georgia" w:eastAsia="Georgia" w:hAnsi="Georgia" w:cs="Georgia"/>
          <w:b/>
          <w:bCs/>
          <w:color w:val="331F1A"/>
          <w:sz w:val="40"/>
          <w:szCs w:val="40"/>
        </w:rPr>
      </w:pPr>
      <w:r>
        <w:rPr>
          <w:rFonts w:ascii="Georgia" w:eastAsia="Georgia" w:hAnsi="Georgia" w:cs="Georgia"/>
          <w:b/>
          <w:bCs/>
          <w:color w:val="331F1A"/>
          <w:sz w:val="40"/>
          <w:szCs w:val="40"/>
        </w:rPr>
        <w:t>BLOOD TRANSFER, SERUM HALOS, AND POSTMORTEM FLOW ON THE SHROUD OF TURIN</w:t>
      </w:r>
    </w:p>
    <w:p w14:paraId="24621CA0" w14:textId="77777777" w:rsidR="008409E4" w:rsidRDefault="008409E4" w:rsidP="00B60610">
      <w:pPr>
        <w:spacing w:after="90" w:line="283" w:lineRule="auto"/>
        <w:jc w:val="both"/>
        <w:rPr>
          <w:rFonts w:ascii="Georgia" w:eastAsia="Georgia" w:hAnsi="Georgia" w:cs="Georgia"/>
          <w:sz w:val="21"/>
          <w:szCs w:val="21"/>
        </w:rPr>
      </w:pPr>
    </w:p>
    <w:p w14:paraId="62F0E6C9" w14:textId="77777777" w:rsidR="008409E4" w:rsidRDefault="00000000" w:rsidP="00C20465">
      <w:pPr>
        <w:spacing w:after="90" w:line="283" w:lineRule="auto"/>
        <w:jc w:val="center"/>
        <w:rPr>
          <w:rFonts w:ascii="Georgia" w:eastAsia="Georgia" w:hAnsi="Georgia" w:cs="Georgia"/>
          <w:i/>
          <w:iCs/>
          <w:color w:val="614D45"/>
          <w:sz w:val="24"/>
          <w:szCs w:val="24"/>
        </w:rPr>
      </w:pPr>
      <w:r>
        <w:rPr>
          <w:rFonts w:ascii="Georgia" w:eastAsia="Georgia" w:hAnsi="Georgia" w:cs="Georgia"/>
          <w:i/>
          <w:iCs/>
          <w:color w:val="614D45"/>
          <w:sz w:val="24"/>
          <w:szCs w:val="24"/>
        </w:rPr>
        <w:t>A Critical Forensic and Hematological Narrative Review</w:t>
      </w:r>
    </w:p>
    <w:p w14:paraId="4ED2A3DB" w14:textId="77777777" w:rsidR="008409E4" w:rsidRDefault="008409E4" w:rsidP="00B60610">
      <w:pPr>
        <w:spacing w:after="90" w:line="283" w:lineRule="auto"/>
        <w:jc w:val="both"/>
        <w:rPr>
          <w:rFonts w:ascii="Georgia" w:eastAsia="Georgia" w:hAnsi="Georgia" w:cs="Georgia"/>
          <w:sz w:val="21"/>
          <w:szCs w:val="21"/>
        </w:rPr>
      </w:pPr>
    </w:p>
    <w:p w14:paraId="01E4E58C" w14:textId="77777777" w:rsidR="008409E4" w:rsidRDefault="00000000" w:rsidP="00C20465">
      <w:pPr>
        <w:spacing w:after="90" w:line="283" w:lineRule="auto"/>
        <w:jc w:val="center"/>
        <w:rPr>
          <w:rFonts w:ascii="Georgia" w:eastAsia="Georgia" w:hAnsi="Georgia" w:cs="Georgia"/>
          <w:b/>
          <w:bCs/>
          <w:sz w:val="24"/>
          <w:szCs w:val="24"/>
        </w:rPr>
      </w:pPr>
      <w:r>
        <w:rPr>
          <w:rFonts w:ascii="Georgia" w:eastAsia="Georgia" w:hAnsi="Georgia" w:cs="Georgia"/>
          <w:b/>
          <w:bCs/>
          <w:sz w:val="24"/>
          <w:szCs w:val="24"/>
        </w:rPr>
        <w:t xml:space="preserve">Otangelo Grasso</w:t>
      </w:r>
    </w:p>
    <w:p w14:paraId="2C24772C" w14:textId="1B5439F6" w:rsidR="00C20465" w:rsidRDefault="00000000" w:rsidP="00C20465">
      <w:pPr>
        <w:spacing w:after="90" w:line="283" w:lineRule="auto"/>
        <w:jc w:val="center"/>
        <w:rPr>
          <w:rFonts w:ascii="Georgia" w:eastAsia="Georgia" w:hAnsi="Georgia" w:cs="Georgia"/>
          <w:color w:val="737373"/>
          <w:sz w:val="18"/>
          <w:szCs w:val="18"/>
        </w:rPr>
      </w:pPr>
      <w:r>
        <w:rPr>
          <w:rFonts w:ascii="Georgia" w:eastAsia="Georgia" w:hAnsi="Georgia" w:cs="Georgia"/>
          <w:color w:val="737373"/>
          <w:sz w:val="18"/>
          <w:szCs w:val="18"/>
        </w:rPr>
        <w:t>Independent researcher · ORCID: 0009-0005-6942-0593</w:t>
      </w:r>
    </w:p>
    <w:p w14:paraId="4D56FC5F" w14:textId="77777777" w:rsidR="008409E4" w:rsidRDefault="008409E4" w:rsidP="00B60610">
      <w:pPr>
        <w:spacing w:after="90" w:line="283" w:lineRule="auto"/>
        <w:jc w:val="both"/>
        <w:rPr>
          <w:rFonts w:ascii="Georgia" w:eastAsia="Georgia" w:hAnsi="Georgia" w:cs="Georgia"/>
          <w:sz w:val="21"/>
          <w:szCs w:val="21"/>
        </w:rPr>
      </w:pPr>
    </w:p>
    <w:p w14:paraId="1D1C971D" w14:textId="77777777" w:rsidR="008409E4" w:rsidRDefault="00000000" w:rsidP="00B60610">
      <w:pPr>
        <w:keepLines/>
        <w:pBdr>
          <w:left w:val="single" w:sz="18" w:space="7" w:color="6B2124"/>
        </w:pBdr>
        <w:shd w:val="clear" w:color="auto" w:fill="E9ECDD"/>
        <w:spacing w:before="160" w:after="160" w:line="283" w:lineRule="auto"/>
        <w:ind w:left="200" w:right="200"/>
        <w:jc w:val="both"/>
        <w:rPr>
          <w:rFonts w:ascii="Georgia" w:eastAsia="Georgia" w:hAnsi="Georgia" w:cs="Georgia"/>
          <w:b/>
          <w:bCs/>
          <w:color w:val="6B2124"/>
          <w:sz w:val="20"/>
          <w:szCs w:val="20"/>
        </w:rPr>
      </w:pPr>
      <w:r>
        <w:rPr>
          <w:rFonts w:ascii="Georgia" w:eastAsia="Georgia" w:hAnsi="Georgia" w:cs="Georgia"/>
          <w:b/>
          <w:bCs/>
          <w:color w:val="6B2124"/>
          <w:sz w:val="20"/>
          <w:szCs w:val="20"/>
        </w:rPr>
        <w:t>CENTRAL FINDING</w:t>
      </w:r>
    </w:p>
    <w:p w14:paraId="6CDDFBC3" w14:textId="77777777" w:rsidR="008409E4" w:rsidRDefault="008409E4" w:rsidP="00B60610">
      <w:pPr>
        <w:keepLines/>
        <w:pBdr>
          <w:left w:val="single" w:sz="18" w:space="7" w:color="6B2124"/>
        </w:pBdr>
        <w:shd w:val="clear" w:color="auto" w:fill="E9ECDD"/>
        <w:spacing w:before="160" w:after="160" w:line="283" w:lineRule="auto"/>
        <w:ind w:left="200" w:right="200"/>
        <w:jc w:val="both"/>
        <w:rPr>
          <w:rFonts w:ascii="Georgia" w:eastAsia="Georgia" w:hAnsi="Georgia" w:cs="Georgia"/>
          <w:sz w:val="21"/>
          <w:szCs w:val="21"/>
        </w:rPr>
      </w:pPr>
    </w:p>
    <w:p w14:paraId="1B106BF1" w14:textId="77777777" w:rsidR="008409E4" w:rsidRDefault="00000000" w:rsidP="00B60610">
      <w:pPr>
        <w:keepLines/>
        <w:pBdr>
          <w:left w:val="single" w:sz="18" w:space="7" w:color="6B2124"/>
        </w:pBdr>
        <w:shd w:val="clear" w:color="auto" w:fill="E9ECDD"/>
        <w:spacing w:before="160" w:after="160" w:line="283" w:lineRule="auto"/>
        <w:ind w:left="200" w:right="200"/>
        <w:jc w:val="both"/>
        <w:rPr>
          <w:rFonts w:ascii="Georgia" w:eastAsia="Georgia" w:hAnsi="Georgia" w:cs="Georgia"/>
          <w:sz w:val="21"/>
          <w:szCs w:val="21"/>
        </w:rPr>
      </w:pPr>
      <w:r>
        <w:rPr>
          <w:rFonts w:ascii="Georgia" w:eastAsia="Georgia" w:hAnsi="Georgia" w:cs="Georgia"/>
          <w:sz w:val="21"/>
          <w:szCs w:val="21"/>
        </w:rPr>
        <w:t xml:space="preserve">The composite biological model developed in this review proposes the following sequence: premortem bleeding and clot formation, serum separation during clot retraction, mechanical disruption of the wound during unnailing and handling, passive postmortem drainage of residual or fibrinolysed blood, and transfer to linen while some material was moist or had been rehydrated by a humid environment. The individual stages of this model are physiologically and physically plausible, and the integrated sequence is experimentally testable; however, the present Shroud data do not uniquely prove it, do not establish asphyxia as the cause of death, and do not by themselves authenticate the cloth as the burial shroud of Jesus.</w:t>
      </w:r>
    </w:p>
    <w:p w14:paraId="6009B904" w14:textId="77777777" w:rsidR="008409E4" w:rsidRDefault="008409E4" w:rsidP="00B60610">
      <w:pPr>
        <w:spacing w:after="90" w:line="283" w:lineRule="auto"/>
        <w:jc w:val="both"/>
        <w:rPr>
          <w:rFonts w:ascii="Georgia" w:eastAsia="Georgia" w:hAnsi="Georgia" w:cs="Georgia"/>
          <w:sz w:val="21"/>
          <w:szCs w:val="21"/>
        </w:rPr>
      </w:pPr>
    </w:p>
    <w:p w14:paraId="3D6DBC25" w14:textId="77777777" w:rsidR="008409E4" w:rsidRDefault="00000000" w:rsidP="00B60610">
      <w:pPr>
        <w:keepNext/>
        <w:spacing w:before="80" w:after="20" w:line="283" w:lineRule="auto"/>
        <w:jc w:val="both"/>
        <w:rPr>
          <w:rFonts w:ascii="Georgia" w:eastAsia="Georgia" w:hAnsi="Georgia" w:cs="Georgia"/>
          <w:b/>
          <w:bCs/>
          <w:color w:val="6B2124"/>
          <w:sz w:val="16"/>
          <w:szCs w:val="16"/>
        </w:rPr>
      </w:pPr>
      <w:r>
        <w:rPr>
          <w:rFonts w:ascii="Georgia" w:eastAsia="Georgia" w:hAnsi="Georgia" w:cs="Georgia"/>
          <w:b/>
          <w:bCs/>
          <w:color w:val="6B2124"/>
          <w:sz w:val="16"/>
          <w:szCs w:val="16"/>
        </w:rPr>
        <w:t>AI ASSISTANCE DISCLOSURE</w:t>
      </w:r>
    </w:p>
    <w:p w14:paraId="35D7A990" w14:textId="77777777" w:rsidR="008409E4" w:rsidRDefault="00000000" w:rsidP="00B60610">
      <w:pPr>
        <w:keepLines/>
        <w:spacing w:after="80" w:line="252" w:lineRule="auto"/>
        <w:jc w:val="both"/>
        <w:rPr>
          <w:rFonts w:ascii="Georgia" w:eastAsia="Georgia" w:hAnsi="Georgia" w:cs="Georgia"/>
          <w:i/>
          <w:iCs/>
          <w:color w:val="614D45"/>
          <w:sz w:val="16"/>
          <w:szCs w:val="16"/>
        </w:rPr>
      </w:pPr>
      <w:r>
        <w:rPr>
          <w:rFonts w:ascii="Georgia" w:eastAsia="Georgia" w:hAnsi="Georgia" w:cs="Georgia"/>
          <w:i/>
          <w:iCs/>
          <w:color w:val="614D45"/>
          <w:sz w:val="16"/>
          <w:szCs w:val="16"/>
        </w:rPr>
        <w:t>Artificial intelligence tools were used in the drafting, editing, research assistance, and visual development of this work. All interpretations, arguments, conclusions, and responsibility for accuracy remain solely with the author.</w:t>
      </w:r>
    </w:p>
    <w:p w14:paraId="28744BAB" w14:textId="77777777" w:rsidR="008409E4" w:rsidRDefault="008409E4" w:rsidP="00B60610">
      <w:pPr>
        <w:spacing w:after="90" w:line="283" w:lineRule="auto"/>
        <w:jc w:val="both"/>
        <w:rPr>
          <w:rFonts w:ascii="Georgia" w:eastAsia="Georgia" w:hAnsi="Georgia" w:cs="Georgia"/>
          <w:sz w:val="21"/>
          <w:szCs w:val="21"/>
        </w:rPr>
      </w:pPr>
    </w:p>
    <w:p w14:paraId="1087AD20" w14:textId="77777777" w:rsidR="008409E4" w:rsidRDefault="00000000" w:rsidP="00B60610">
      <w:pPr>
        <w:pStyle w:val="Ttulo1"/>
        <w:pBdr>
          <w:top w:val="single" w:sz="6" w:space="5" w:color="8B7852"/>
          <w:bottom w:val="single" w:sz="6" w:space="5" w:color="8B7852"/>
        </w:pBdr>
        <w:shd w:val="clear" w:color="auto" w:fill="FBF8EE"/>
        <w:spacing w:before="120" w:line="283" w:lineRule="auto"/>
        <w:ind w:left="160" w:right="160"/>
        <w:jc w:val="both"/>
        <w:rPr>
          <w:rFonts w:ascii="Georgia" w:eastAsia="Georgia" w:hAnsi="Georgia" w:cs="Georgia"/>
          <w:b/>
          <w:bCs/>
          <w:color w:val="6B2124"/>
          <w:sz w:val="28"/>
          <w:szCs w:val="28"/>
        </w:rPr>
      </w:pPr>
      <w:bookmarkStart w:id="1" w:name="_gfmntfpso3k3" w:colFirst="0" w:colLast="0"/>
      <w:bookmarkEnd w:id="1"/>
      <w:r>
        <w:rPr>
          <w:rFonts w:ascii="Georgia" w:eastAsia="Georgia" w:hAnsi="Georgia" w:cs="Georgia"/>
          <w:b/>
          <w:bCs/>
          <w:color w:val="6B2124"/>
          <w:sz w:val="28"/>
          <w:szCs w:val="28"/>
        </w:rPr>
        <w:t>ABSTRACT</w:t>
      </w:r>
    </w:p>
    <w:p w14:paraId="40095B79" w14:textId="77777777" w:rsidR="008409E4" w:rsidRDefault="008409E4" w:rsidP="00B60610">
      <w:pPr>
        <w:pBdr>
          <w:top w:val="single" w:sz="6" w:space="5" w:color="8B7852"/>
          <w:bottom w:val="single" w:sz="6" w:space="5" w:color="8B7852"/>
        </w:pBdr>
        <w:shd w:val="clear" w:color="auto" w:fill="FBF8EE"/>
        <w:spacing w:before="120" w:after="120" w:line="283" w:lineRule="auto"/>
        <w:ind w:left="160" w:right="160"/>
        <w:jc w:val="both"/>
        <w:rPr>
          <w:rFonts w:ascii="Georgia" w:eastAsia="Georgia" w:hAnsi="Georgia" w:cs="Georgia"/>
          <w:sz w:val="21"/>
          <w:szCs w:val="21"/>
        </w:rPr>
      </w:pPr>
    </w:p>
    <w:p w14:paraId="4207094C" w14:textId="77777777" w:rsidR="008409E4" w:rsidRDefault="00000000" w:rsidP="00B60610">
      <w:pPr>
        <w:pBdr>
          <w:top w:val="single" w:sz="6" w:space="5" w:color="8B7852"/>
          <w:bottom w:val="single" w:sz="6" w:space="5" w:color="8B7852"/>
        </w:pBdr>
        <w:shd w:val="clear" w:color="auto" w:fill="FBF8EE"/>
        <w:spacing w:before="120" w:after="120" w:line="283" w:lineRule="auto"/>
        <w:ind w:left="160" w:right="160"/>
        <w:jc w:val="both"/>
        <w:rPr>
          <w:rFonts w:ascii="Georgia" w:eastAsia="Georgia" w:hAnsi="Georgia" w:cs="Georgia"/>
          <w:sz w:val="21"/>
          <w:szCs w:val="21"/>
        </w:rPr>
      </w:pPr>
      <w:r>
        <w:rPr>
          <w:rFonts w:ascii="Georgia" w:eastAsia="Georgia" w:hAnsi="Georgia" w:cs="Georgia"/>
          <w:sz w:val="21"/>
          <w:szCs w:val="21"/>
        </w:rPr>
        <w:t xml:space="preserve">The blood marks of the Shroud of Turin are among the artifact's most forensically consequential features. Several reddish areas contain chemical and spectroscopic signatures interpreted as blood components, and ultraviolet photographs acquired by the Shroud of Turin Research Project (STURP) show fluorescent margins around a subset of wound marks. Those margins have been interpreted as serum exudate produced by clot retraction. Controlled experiments by Kelly P. Kearse show that ultraviolet illumination near 365 nm can reveal serum-associated patterns, that clotting blood transferred from skin can produce fluorescent serum edges, that direct deposition of liquid blood usually does not produce the same peripheral pattern, and that high relative humidity can rehydrate dried blood sufficiently to permit later transfer. Historical experiments by Lavoie and colleagues similarly showed a strong time dependence for transfer of recognizable clot images. In parallel, classical forensic studies and Frederick Zugibe's observations emphasize that postmortem blood may remain or become fluid through fibrinolysis and </w:t>
        <w:lastRenderedPageBreak/>
        <w:t>may ooze passively from disturbed wounds. These two bodies of evidence are not contradictory: clot formation before death and postmortem fluid drainage can occur sequentially in the same wound. The wrist mark can therefore be modeled as a composite stain incorporating an older clot-associated component and a later liquid-flow component produced during unnailing, transport, or burial handling. However, several popular claims require correction. Postmortem fluidity is not specific for asphyxia; a serum halo does not date a stain by itself; a humid tomb does not automatically preserve every halo; and the commonly repeated values of approximately 10 °C (50 °F) and 95% RH have not been demonstrated for the specific Jerusalem tomb in question. Furthermore, assertions that the Shroud blood has been conclusively proven human, male, AB, Semitic, premortem versus postmortem, or diagnostic of polytrauma exceed the validated evidential base. Building on earlier studies of clot transfer, serum fluorescence, humidity-mediated rehydration, postmortem blood fluidity, and movement-dependent blood flows, the distinct contribution of this review is to integrate these findings into a constrained chronological model of the wrist region. The model predicts the spatial coexistence of an older clot-associated, halo-positive component and a later passive, commonly halo-negative postmortem flow, and translates that inference into explicit decision criteria and a preregistered experimental program designed to distinguish biological transfer from washing, direct liquid deposition, sequential clear-fluid application, and artistic application using genuine blood.</w:t>
      </w:r>
    </w:p>
    <w:p w14:paraId="22FC885F" w14:textId="77777777" w:rsidR="008409E4" w:rsidRDefault="008409E4" w:rsidP="00B60610">
      <w:pPr>
        <w:spacing w:after="90" w:line="283" w:lineRule="auto"/>
        <w:jc w:val="both"/>
        <w:rPr>
          <w:rFonts w:ascii="Georgia" w:eastAsia="Georgia" w:hAnsi="Georgia" w:cs="Georgia"/>
          <w:sz w:val="21"/>
          <w:szCs w:val="21"/>
        </w:rPr>
      </w:pPr>
    </w:p>
    <w:p w14:paraId="4D085D3B"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Keywords: Shroud of Turin; bloodstain pattern analysis; serum halo; clot retraction; postmortem fibrinolysis; humidity; linen transfer; crucifixion; ultraviolet fluorescence; taphonomy</w:t>
      </w:r>
    </w:p>
    <w:p w14:paraId="54ED8D87" w14:textId="77777777" w:rsidR="008409E4" w:rsidRDefault="008409E4" w:rsidP="00B60610">
      <w:pPr>
        <w:spacing w:after="90" w:line="283" w:lineRule="auto"/>
        <w:jc w:val="both"/>
        <w:rPr>
          <w:rFonts w:ascii="Georgia" w:eastAsia="Georgia" w:hAnsi="Georgia" w:cs="Georgia"/>
          <w:sz w:val="21"/>
          <w:szCs w:val="21"/>
        </w:rPr>
      </w:pPr>
    </w:p>
    <w:p w14:paraId="385B5FDE" w14:textId="77777777" w:rsidR="008409E4" w:rsidRDefault="00000000" w:rsidP="00B60610">
      <w:pPr>
        <w:pStyle w:val="Ttulo1"/>
        <w:spacing w:after="90" w:line="283" w:lineRule="auto"/>
        <w:jc w:val="both"/>
        <w:rPr>
          <w:rFonts w:ascii="Georgia" w:eastAsia="Georgia" w:hAnsi="Georgia" w:cs="Georgia"/>
          <w:b/>
          <w:bCs/>
          <w:color w:val="6B2124"/>
          <w:sz w:val="28"/>
          <w:szCs w:val="28"/>
        </w:rPr>
      </w:pPr>
      <w:bookmarkStart w:id="2" w:name="_kljoa5h1i3d5" w:colFirst="0" w:colLast="0"/>
      <w:bookmarkEnd w:id="2"/>
      <w:r>
        <w:rPr>
          <w:rFonts w:ascii="Georgia" w:eastAsia="Georgia" w:hAnsi="Georgia" w:cs="Georgia"/>
          <w:b/>
          <w:bCs/>
          <w:color w:val="6B2124"/>
          <w:sz w:val="28"/>
          <w:szCs w:val="28"/>
        </w:rPr>
        <w:t>EVIDENTIAL LANGUAGE AND INFERENCE</w:t>
      </w:r>
    </w:p>
    <w:p w14:paraId="247989BD" w14:textId="77777777" w:rsidR="008409E4" w:rsidRDefault="008409E4" w:rsidP="00B60610">
      <w:pPr>
        <w:spacing w:after="90" w:line="283" w:lineRule="auto"/>
        <w:jc w:val="both"/>
        <w:rPr>
          <w:rFonts w:ascii="Georgia" w:eastAsia="Georgia" w:hAnsi="Georgia" w:cs="Georgia"/>
          <w:sz w:val="21"/>
          <w:szCs w:val="21"/>
        </w:rPr>
      </w:pPr>
    </w:p>
    <w:p w14:paraId="65A5D314"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In this paper, “compatible with” means that an observation can be produced by a proposed mechanism; it does not mean that the mechanism is uniquely established. “Supports” means the evidence raises the plausibility of a model relative to a specified alternative. “Proves” is reserved for conclusions that survive validated methods, adequate controls, independent replication, and exclusion of realistic alternatives. Applying these distinctions is especially important in Shroud research, where theological significance can unintentionally amplify preliminary scientific findings.</w:t>
      </w:r>
    </w:p>
    <w:p w14:paraId="259F81AE" w14:textId="77777777" w:rsidR="008409E4" w:rsidRDefault="008409E4" w:rsidP="00B60610">
      <w:pPr>
        <w:spacing w:after="90" w:line="283" w:lineRule="auto"/>
        <w:jc w:val="both"/>
        <w:rPr>
          <w:rFonts w:ascii="Georgia" w:eastAsia="Georgia" w:hAnsi="Georgia" w:cs="Georgia"/>
          <w:sz w:val="21"/>
          <w:szCs w:val="21"/>
        </w:rPr>
      </w:pPr>
    </w:p>
    <w:p w14:paraId="733EBAC3" w14:textId="77777777" w:rsidR="008409E4" w:rsidRDefault="00000000" w:rsidP="00B60610">
      <w:pPr>
        <w:spacing w:after="90" w:line="283" w:lineRule="auto"/>
        <w:jc w:val="both"/>
        <w:rPr>
          <w:rFonts w:ascii="Georgia" w:eastAsia="Georgia" w:hAnsi="Georgia" w:cs="Georgia"/>
          <w:b/>
          <w:bCs/>
          <w:color w:val="50634D"/>
        </w:rPr>
      </w:pPr>
      <w:r>
        <w:rPr>
          <w:rFonts w:ascii="Georgia" w:eastAsia="Georgia" w:hAnsi="Georgia" w:cs="Georgia"/>
          <w:b/>
          <w:bCs/>
          <w:color w:val="50634D"/>
        </w:rPr>
        <w:t>Evidence-Grading Framework</w:t>
      </w:r>
    </w:p>
    <w:p w14:paraId="488FC0C7" w14:textId="77777777" w:rsidR="008409E4" w:rsidRDefault="008409E4" w:rsidP="00B60610">
      <w:pPr>
        <w:spacing w:after="90" w:line="283" w:lineRule="auto"/>
        <w:jc w:val="both"/>
        <w:rPr>
          <w:rFonts w:ascii="Georgia" w:eastAsia="Georgia" w:hAnsi="Georgia" w:cs="Georgia"/>
          <w:sz w:val="21"/>
          <w:szCs w:val="21"/>
        </w:rPr>
      </w:pPr>
    </w:p>
    <w:p w14:paraId="4DE36889"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 Direct observation: documented optical, ultraviolet, spectroscopic, microscopic, or chemical property of the Shroud or an authenticated sample.</w:t>
      </w:r>
    </w:p>
    <w:p w14:paraId="282E2C3C" w14:textId="77777777" w:rsidR="008409E4" w:rsidRDefault="008409E4" w:rsidP="00B60610">
      <w:pPr>
        <w:spacing w:after="90" w:line="283" w:lineRule="auto"/>
        <w:jc w:val="both"/>
        <w:rPr>
          <w:rFonts w:ascii="Georgia" w:eastAsia="Georgia" w:hAnsi="Georgia" w:cs="Georgia"/>
          <w:sz w:val="21"/>
          <w:szCs w:val="21"/>
        </w:rPr>
      </w:pPr>
    </w:p>
    <w:p w14:paraId="0E63B2D2"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 xml:space="preserve">• Controlled experimental analogue: a repeatable result obtained with modern blood, skin, linen, and controlled environmental variables. Most such experiments are proof-of-principle or feasibility studies; the term “validated” is reserved for methods that have undergone independent, multicentre verification.</w:t>
      </w:r>
    </w:p>
    <w:p w14:paraId="21CFDE89" w14:textId="77777777" w:rsidR="008409E4" w:rsidRDefault="008409E4" w:rsidP="00B60610">
      <w:pPr>
        <w:spacing w:after="90" w:line="283" w:lineRule="auto"/>
        <w:jc w:val="both"/>
        <w:rPr>
          <w:rFonts w:ascii="Georgia" w:eastAsia="Georgia" w:hAnsi="Georgia" w:cs="Georgia"/>
          <w:sz w:val="21"/>
          <w:szCs w:val="21"/>
        </w:rPr>
      </w:pPr>
    </w:p>
    <w:p w14:paraId="3E98E2BF"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 Mechanistic inference: an explanation that unifies observations and analogues but is not uniquely required by them.</w:t>
      </w:r>
    </w:p>
    <w:p w14:paraId="0A3F7CFA" w14:textId="77777777" w:rsidR="008409E4" w:rsidRDefault="008409E4" w:rsidP="00B60610">
      <w:pPr>
        <w:spacing w:after="90" w:line="283" w:lineRule="auto"/>
        <w:jc w:val="both"/>
        <w:rPr>
          <w:rFonts w:ascii="Georgia" w:eastAsia="Georgia" w:hAnsi="Georgia" w:cs="Georgia"/>
          <w:sz w:val="21"/>
          <w:szCs w:val="21"/>
        </w:rPr>
      </w:pPr>
    </w:p>
    <w:p w14:paraId="5C061DE2" w14:textId="0BB540A0"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 Historical attribution: the identification of the artifact or the individual represented. This requires evidence beyond blood-transfer mechanics.</w:t>
      </w:r>
    </w:p>
    <w:p w14:paraId="71B55F82" w14:textId="77777777" w:rsidR="008409E4" w:rsidRDefault="00000000" w:rsidP="00B60610">
      <w:pPr>
        <w:pStyle w:val="Ttulo1"/>
        <w:spacing w:after="90" w:line="283" w:lineRule="auto"/>
        <w:jc w:val="both"/>
        <w:rPr>
          <w:rFonts w:ascii="Georgia" w:eastAsia="Georgia" w:hAnsi="Georgia" w:cs="Georgia"/>
          <w:b/>
          <w:bCs/>
          <w:color w:val="6B2124"/>
          <w:sz w:val="28"/>
          <w:szCs w:val="28"/>
        </w:rPr>
      </w:pPr>
      <w:bookmarkStart w:id="3" w:name="_naw1r4od06w0" w:colFirst="0" w:colLast="0"/>
      <w:bookmarkEnd w:id="3"/>
      <w:r>
        <w:rPr>
          <w:rFonts w:ascii="Georgia" w:eastAsia="Georgia" w:hAnsi="Georgia" w:cs="Georgia"/>
          <w:b/>
          <w:bCs/>
          <w:color w:val="6B2124"/>
          <w:sz w:val="28"/>
          <w:szCs w:val="28"/>
        </w:rPr>
        <w:t>RESEARCH QUESTION AND SCOPE</w:t>
      </w:r>
    </w:p>
    <w:p w14:paraId="561DFA75" w14:textId="77777777" w:rsidR="008409E4" w:rsidRDefault="008409E4" w:rsidP="00B60610">
      <w:pPr>
        <w:spacing w:after="90" w:line="283" w:lineRule="auto"/>
        <w:jc w:val="both"/>
        <w:rPr>
          <w:rFonts w:ascii="Georgia" w:eastAsia="Georgia" w:hAnsi="Georgia" w:cs="Georgia"/>
          <w:sz w:val="21"/>
          <w:szCs w:val="21"/>
        </w:rPr>
      </w:pPr>
    </w:p>
    <w:p w14:paraId="3DBC5AC7" w14:textId="437CED2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Can the apparently mixed character of the Shroud wrist wound—a clot-associated serum margin together with a more liquid-looking flow—be explained by a physiologically and physically coherent sequence involving premortem coagulation, postmortem fluid blood, unnailing, transport, and a cool humid burial environment? The answer is yes as a plausible model, but not yet as a uniquely demonstrated historical reconstruction. The crucial scientific task is to separate three levels of inference: (1) what is directly observed on the cloth and its historical samples; (2) what modern experiments show can happen; and (3) what historical event is claimed to have happened. Confusing these levels produces either apologetic overstatement or skeptical dismissal. Section 11 translates the preferred model into a falsifiable, preregistered program with explicit biological, environmental, textile, imaging, and artistic controls.</w:t>
      </w:r>
    </w:p>
    <w:p w14:paraId="7DF35CC8" w14:textId="77777777" w:rsidR="008409E4" w:rsidRDefault="00000000" w:rsidP="00B60610">
      <w:pPr>
        <w:pStyle w:val="Ttulo1"/>
        <w:spacing w:after="90" w:line="283" w:lineRule="auto"/>
        <w:jc w:val="both"/>
        <w:rPr>
          <w:rFonts w:ascii="Georgia" w:eastAsia="Georgia" w:hAnsi="Georgia" w:cs="Georgia"/>
          <w:b/>
          <w:bCs/>
          <w:color w:val="6B2124"/>
          <w:sz w:val="28"/>
          <w:szCs w:val="28"/>
        </w:rPr>
      </w:pPr>
      <w:bookmarkStart w:id="4" w:name="_jr9rxoc12w6m" w:colFirst="0" w:colLast="0"/>
      <w:bookmarkEnd w:id="4"/>
      <w:r>
        <w:rPr>
          <w:rFonts w:ascii="Georgia" w:eastAsia="Georgia" w:hAnsi="Georgia" w:cs="Georgia"/>
          <w:b/>
          <w:bCs/>
          <w:color w:val="6B2124"/>
          <w:sz w:val="28"/>
          <w:szCs w:val="28"/>
        </w:rPr>
        <w:t>DISTINCT CONTRIBUTION OF THIS REVIEW</w:t>
      </w:r>
    </w:p>
    <w:p w14:paraId="7C3B5259" w14:textId="77777777" w:rsidR="008409E4" w:rsidRDefault="00000000" w:rsidP="00B60610">
      <w:pPr>
        <w:spacing w:after="90" w:line="283" w:lineRule="auto"/>
        <w:jc w:val="both"/>
      </w:pPr>
      <w:r>
        <w:t>Earlier publications have separately investigated serum-associated fluorescence, clot transfer, humidity-mediated rehydration, postmortem blood fluidity, arm-position effects, and multiphase interpretations of the Shroud blood marks. The present review does not claim priority for any of those individual mechanisms. Its distinct contribution is the formulation of a constrained chronological reconstruction in which they operate sequentially within the same wrist wound.</w:t>
      </w:r>
    </w:p>
    <w:p w14:paraId="0AD31D8A" w14:textId="77777777" w:rsidR="008409E4" w:rsidRDefault="00000000" w:rsidP="00B60610">
      <w:pPr>
        <w:spacing w:after="90" w:line="283" w:lineRule="auto"/>
        <w:jc w:val="both"/>
      </w:pPr>
      <w:r>
        <w:t>The central new inference is that the partial fluorescent margin and the more liquid-looking wrist flow need not represent competing explanations. They may instead record different stages of one wound history: an older coagulated deposit with prior fluid separation, followed by mechanical reopening during unnailing or handling and a later passive postmortem discharge that would not be expected to generate a new clot-retraction halo. Humidity is treated as a modifier of transferability rather than as the origin of the serum margin.</w:t>
      </w:r>
    </w:p>
    <w:p w14:paraId="6020FEB0" w14:textId="77777777" w:rsidR="008409E4" w:rsidRDefault="00000000" w:rsidP="00B60610">
      <w:pPr>
        <w:spacing w:after="90" w:line="283" w:lineRule="auto"/>
        <w:jc w:val="both"/>
      </w:pPr>
      <w:r>
        <w:t>This formulation produces spatially testable predictions. A valid composite model should reproduce a bounded cellular-rich component with a protein-rich peripheral zone, together with a superposed directional flow lacking a newly formed halo. It must also outperform immediate wet contact, washing-mediated transfer, direct liquid deposition, sequential application of clear biological fluids, and controlled artistic application when evaluated by calibrated ultraviolet imaging, spatial chemistry, textile penetration, and blinded classification.</w:t>
      </w:r>
    </w:p>
    <w:p w14:paraId="6CD791AF" w14:textId="77777777" w:rsidR="008409E4" w:rsidRDefault="00000000" w:rsidP="00B60610">
      <w:pPr>
        <w:pStyle w:val="Ttulo1"/>
        <w:spacing w:after="90" w:line="283" w:lineRule="auto"/>
        <w:jc w:val="both"/>
        <w:rPr>
          <w:rFonts w:ascii="Georgia" w:eastAsia="Georgia" w:hAnsi="Georgia" w:cs="Georgia"/>
          <w:b/>
          <w:bCs/>
          <w:color w:val="6B2124"/>
          <w:sz w:val="28"/>
          <w:szCs w:val="28"/>
        </w:rPr>
      </w:pPr>
      <w:bookmarkStart w:id="5" w:name="_yrg48arlub5n" w:colFirst="0" w:colLast="0"/>
      <w:bookmarkEnd w:id="5"/>
      <w:r>
        <w:rPr>
          <w:rFonts w:ascii="Georgia" w:eastAsia="Georgia" w:hAnsi="Georgia" w:cs="Georgia"/>
          <w:b/>
          <w:bCs/>
          <w:color w:val="6B2124"/>
          <w:sz w:val="28"/>
          <w:szCs w:val="28"/>
        </w:rPr>
        <w:t>REVIEW METHODOLOGY</w:t>
      </w:r>
    </w:p>
    <w:p w14:paraId="24FCC80F" w14:textId="77777777" w:rsidR="008409E4" w:rsidRDefault="008409E4" w:rsidP="00B60610">
      <w:pPr>
        <w:spacing w:after="90" w:line="283" w:lineRule="auto"/>
        <w:jc w:val="both"/>
        <w:rPr>
          <w:rFonts w:ascii="Georgia" w:eastAsia="Georgia" w:hAnsi="Georgia" w:cs="Georgia"/>
          <w:sz w:val="21"/>
          <w:szCs w:val="21"/>
        </w:rPr>
      </w:pPr>
    </w:p>
    <w:p w14:paraId="1093A711"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 xml:space="preserve">This article is a critical narrative review rather than a systematic review or meta-analysis. Literature was identified through searches of PubMed, Crossref, Google Scholar, Web of Science, publisher databases, the Shroud of Turin Website scientific archive (shroud.com), and reference-list chaining. Searches were completed through 18 July 2026 using combinations of: Shroud of Turin; blood; serum; plasma; clot retraction; ultraviolet fluorescence; postmortem fibrinolysis; bloodstain pattern analysis; linen transfer; </w:t>
        <w:lastRenderedPageBreak/>
        <w:t>humidity; cave microclimate. English-language publications were prioritized; non-English primary reports were included when an adequate translation or detailed secondary description was available. Peer-reviewed experimental and forensic publications were prioritized over grey literature, which was included only when it contained observations or experiments unavailable elsewhere; grey-literature items are graded at a lower evidence level. Conclusions were evaluated according to sample provenance, experimental controls, independent replication, analytical specificity, and exclusion of realistic alternatives. This review is narrative and evaluative; the confidence grades in Section 9 are qualitative judgments, not formal GRADE assessments.</w:t>
      </w:r>
    </w:p>
    <w:p w14:paraId="0B7CF2D2" w14:textId="77777777" w:rsidR="008409E4" w:rsidRDefault="008409E4" w:rsidP="00B60610">
      <w:pPr>
        <w:spacing w:after="90" w:line="283" w:lineRule="auto"/>
        <w:jc w:val="both"/>
        <w:rPr>
          <w:rFonts w:ascii="Georgia" w:eastAsia="Georgia" w:hAnsi="Georgia" w:cs="Georgia"/>
          <w:sz w:val="21"/>
          <w:szCs w:val="21"/>
        </w:rPr>
      </w:pPr>
    </w:p>
    <w:p w14:paraId="537C2C3E" w14:textId="77777777" w:rsidR="008409E4" w:rsidRDefault="00000000" w:rsidP="00B60610">
      <w:pPr>
        <w:keepNext/>
        <w:spacing w:after="90" w:line="283" w:lineRule="auto"/>
        <w:jc w:val="both"/>
        <w:rPr>
          <w:rFonts w:ascii="Georgia" w:eastAsia="Georgia" w:hAnsi="Georgia" w:cs="Georgia"/>
          <w:b/>
          <w:bCs/>
          <w:color w:val="50634D"/>
        </w:rPr>
      </w:pPr>
      <w:r>
        <w:rPr>
          <w:rFonts w:ascii="Georgia" w:eastAsia="Georgia" w:hAnsi="Georgia" w:cs="Georgia"/>
          <w:b/>
          <w:bCs/>
          <w:color w:val="50634D"/>
        </w:rPr>
        <w:t>Search framework and selection criteria</w:t>
      </w:r>
    </w:p>
    <w:p w14:paraId="5DBA2B13"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For reproducibility, the review used concept blocks combining (“Shroud of Turin” OR “Turin Shroud”) with blood, serum, plasma, clot retraction, ultraviolet fluorescence, postmortem fibrinolysis, bloodstain pattern analysis, linen transfer, humidity, cave microclimate, pigment, or artistic application. Eligible sources directly addressed Shroud wound marks, blood-transfer physics, relevant postmortem biology, textile interaction, environmental boundary conditions, or competing production hypotheses. Sources were deprioritized or excluded when they lacked enough methodological detail to evaluate the claim, repeated an assertion without traceable evidence, or concerned body-image formation without bearing on blood transfer. Reference-list chaining and citation searching were used to locate earlier and later related work. Because this is a narrative review, no PRISMA flow count was maintained; the search framework is intended to make future updates reproducible rather than to recast the article as a systematic review.</w:t>
      </w:r>
    </w:p>
    <w:p w14:paraId="4A136EF7" w14:textId="77777777" w:rsidR="008409E4" w:rsidRDefault="008409E4" w:rsidP="00B60610">
      <w:pPr>
        <w:spacing w:after="90" w:line="283" w:lineRule="auto"/>
        <w:jc w:val="both"/>
        <w:rPr>
          <w:rFonts w:ascii="Georgia" w:eastAsia="Georgia" w:hAnsi="Georgia" w:cs="Georgia"/>
          <w:sz w:val="21"/>
          <w:szCs w:val="21"/>
        </w:rPr>
      </w:pPr>
    </w:p>
    <w:p w14:paraId="74605269" w14:textId="2AA2BF65"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This review gives primary emphasis to the blood-transfer work of Kelly P. Kearse, the chemical studies of John H. Heller and Alan D. Adler, the ultraviolet photography of Vernon Miller and Samuel Pellicori, the clot-transfer experiments of Gilbert Lavoie and colleagues, the forensic observations of Frederick Zugibe, and recent experimental work by Heger and coauthors, because these represent the bodies of experimental and forensic work most directly relevant to the transfer mechanisms under evaluation. Work bearing on body-image formation, radiocarbon dating, image-encoding hypotheses, and textile structure was reviewed for context but is not the primary subject of this paper. Non-English literature was searched through English-language secondary descriptions and citation trails; no publication was identified that would substantially alter the conclusions of this review, though this cannot be guaranteed. Giulio Fanti's macroscopic and microscopic proposals are included, but they are evaluated according to sample provenance, method validation, and inferential limits. Walter McCrone's pigment interpretation is also included because a critical review must evaluate the strongest competing model rather than cite only literature favorable to authenticity.</w:t>
      </w:r>
    </w:p>
    <w:p w14:paraId="2E467364" w14:textId="77777777" w:rsidR="008409E4" w:rsidRDefault="00000000" w:rsidP="00B60610">
      <w:pPr>
        <w:pStyle w:val="Ttulo1"/>
        <w:spacing w:after="90" w:line="283" w:lineRule="auto"/>
        <w:jc w:val="both"/>
        <w:rPr>
          <w:rFonts w:ascii="Georgia" w:eastAsia="Georgia" w:hAnsi="Georgia" w:cs="Georgia"/>
          <w:b/>
          <w:bCs/>
          <w:color w:val="6B2124"/>
          <w:sz w:val="28"/>
          <w:szCs w:val="28"/>
        </w:rPr>
      </w:pPr>
      <w:bookmarkStart w:id="6" w:name="_irqf8dshu4nq" w:colFirst="0" w:colLast="0"/>
      <w:bookmarkEnd w:id="6"/>
      <w:r>
        <w:rPr>
          <w:rFonts w:ascii="Georgia" w:eastAsia="Georgia" w:hAnsi="Georgia" w:cs="Georgia"/>
          <w:b/>
          <w:bCs/>
          <w:color w:val="6B2124"/>
          <w:sz w:val="28"/>
          <w:szCs w:val="28"/>
        </w:rPr>
        <w:t>1. WHAT IS ACTUALLY OBSERVED?</w:t>
      </w:r>
    </w:p>
    <w:p w14:paraId="5FC596DF" w14:textId="77777777" w:rsidR="008409E4" w:rsidRDefault="008409E4" w:rsidP="00B60610">
      <w:pPr>
        <w:spacing w:after="90" w:line="283" w:lineRule="auto"/>
        <w:jc w:val="both"/>
        <w:rPr>
          <w:rFonts w:ascii="Georgia" w:eastAsia="Georgia" w:hAnsi="Georgia" w:cs="Georgia"/>
          <w:sz w:val="21"/>
          <w:szCs w:val="21"/>
        </w:rPr>
      </w:pPr>
    </w:p>
    <w:p w14:paraId="3A39D728" w14:textId="77777777" w:rsidR="008409E4" w:rsidRDefault="00000000" w:rsidP="00B60610">
      <w:pPr>
        <w:spacing w:after="90" w:line="283" w:lineRule="auto"/>
        <w:jc w:val="both"/>
        <w:rPr>
          <w:rFonts w:ascii="Georgia" w:eastAsia="Georgia" w:hAnsi="Georgia" w:cs="Georgia"/>
          <w:b/>
          <w:bCs/>
          <w:color w:val="50634D"/>
        </w:rPr>
      </w:pPr>
      <w:r>
        <w:rPr>
          <w:rFonts w:ascii="Georgia" w:eastAsia="Georgia" w:hAnsi="Georgia" w:cs="Georgia"/>
          <w:b/>
          <w:bCs/>
          <w:color w:val="50634D"/>
        </w:rPr>
        <w:t>1.1 Reddish wound-associated marks</w:t>
      </w:r>
    </w:p>
    <w:p w14:paraId="57FFF3D2" w14:textId="77777777" w:rsidR="008409E4" w:rsidRDefault="008409E4" w:rsidP="00B60610">
      <w:pPr>
        <w:spacing w:after="90" w:line="283" w:lineRule="auto"/>
        <w:jc w:val="both"/>
        <w:rPr>
          <w:rFonts w:ascii="Georgia" w:eastAsia="Georgia" w:hAnsi="Georgia" w:cs="Georgia"/>
          <w:sz w:val="21"/>
          <w:szCs w:val="21"/>
        </w:rPr>
      </w:pPr>
    </w:p>
    <w:p w14:paraId="11399469"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The Shroud bears numerous reddish marks located in anatomically meaningful regions: scalp, wrists or hands, feet, side, and the dorsal trunk. Their gross distribution has long been compared with scourging and crucifixion trauma. Pattern correspondence is relevant, but morphology alone cannot identify chemical composition or historical age. A painted blood pattern, a contact transfer from an injured body, and later contamination can all be anatomically arranged. Chemical and spectral evidence must therefore be considered separately.</w:t>
      </w:r>
    </w:p>
    <w:p w14:paraId="68FF40CE" w14:textId="77777777" w:rsidR="008409E4" w:rsidRDefault="008409E4" w:rsidP="00B60610">
      <w:pPr>
        <w:spacing w:after="90" w:line="283" w:lineRule="auto"/>
        <w:jc w:val="both"/>
        <w:rPr>
          <w:rFonts w:ascii="Georgia" w:eastAsia="Georgia" w:hAnsi="Georgia" w:cs="Georgia"/>
          <w:sz w:val="21"/>
          <w:szCs w:val="21"/>
        </w:rPr>
      </w:pPr>
    </w:p>
    <w:p w14:paraId="236615AD" w14:textId="77777777" w:rsidR="008409E4" w:rsidRDefault="00000000" w:rsidP="00B60610">
      <w:pPr>
        <w:spacing w:after="90" w:line="283" w:lineRule="auto"/>
        <w:jc w:val="both"/>
        <w:rPr>
          <w:rFonts w:ascii="Georgia" w:eastAsia="Georgia" w:hAnsi="Georgia" w:cs="Georgia"/>
          <w:b/>
          <w:bCs/>
          <w:color w:val="50634D"/>
        </w:rPr>
      </w:pPr>
      <w:r>
        <w:rPr>
          <w:rFonts w:ascii="Georgia" w:eastAsia="Georgia" w:hAnsi="Georgia" w:cs="Georgia"/>
          <w:b/>
          <w:bCs/>
          <w:color w:val="50634D"/>
        </w:rPr>
        <w:t>1.2 Evidence for blood components</w:t>
      </w:r>
    </w:p>
    <w:p w14:paraId="1E5A4479" w14:textId="77777777" w:rsidR="008409E4" w:rsidRDefault="008409E4" w:rsidP="00B60610">
      <w:pPr>
        <w:spacing w:after="90" w:line="283" w:lineRule="auto"/>
        <w:jc w:val="both"/>
        <w:rPr>
          <w:rFonts w:ascii="Georgia" w:eastAsia="Georgia" w:hAnsi="Georgia" w:cs="Georgia"/>
          <w:sz w:val="21"/>
          <w:szCs w:val="21"/>
        </w:rPr>
      </w:pPr>
    </w:p>
    <w:p w14:paraId="08019965"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Heller and Adler reported conversion of heme to porphyrin, protein reactions, bile pigments, albumin, and other findings consistent with whole blood in material removed by STURP adhesive tapes [1,2]. Schwalbe and Rogers concluded that the combined evidence—protein, bilirubin, albumin, optical absorption, fluorescence behavior, and iron concentration in wound regions—was sufficient to identify blood [4]. Spectral reflectance measurements of the wound-region reddish marks showed absorption properties broadly consistent with aged blood [27]. A comprehensive examination of the 1978 tape-lift material similarly documented staining characteristics consistent with blood in wound-associated regions [5]. Taken together, these studies form the principal classical case that the reddish wound-region marks contain hematic material rather than mineral pigment alone [19].</w:t>
      </w:r>
    </w:p>
    <w:p w14:paraId="40667D73" w14:textId="77777777" w:rsidR="008409E4" w:rsidRDefault="008409E4" w:rsidP="00B60610">
      <w:pPr>
        <w:spacing w:after="90" w:line="283" w:lineRule="auto"/>
        <w:jc w:val="both"/>
        <w:rPr>
          <w:rFonts w:ascii="Georgia" w:eastAsia="Georgia" w:hAnsi="Georgia" w:cs="Georgia"/>
          <w:sz w:val="21"/>
          <w:szCs w:val="21"/>
        </w:rPr>
      </w:pPr>
    </w:p>
    <w:p w14:paraId="36E782BD"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 xml:space="preserve">The conclusion must nevertheless be stated with discipline. The samples were minute, heterogeneous, and obtained from a cloth exposed to centuries of handling, the 1532 Chambéry fire and subsequent extinguishing-water damage, repairs, display, devotional contact, and possible contact with painted copies. Iron oxide and vermilion particles are present in at least some samples. The 1532 Chambéry fire and subsequent water damage introduce specific confounds that have not been fully characterized. Thermal treatment can alter protein structure, change fluorescence behavior, mobilize soluble chromophores, and redistribute iron oxide particles. Water used to extinguish the fire could have carried soluble material across the cloth surface and altered the spatial distribution of serum-associated proteins. None of these effects has been mapped against the blood mark distribution at modern analytical resolution, and all interpretations of blood chemistry, UV fluorescence, and halo morphology must acknowledge the fire as a potential confound. The scientifically defensible statement is that blood-associated chemical components have been reported in wound-associated samples; it is not that every red particle in every wound mark has a single uncontaminated origin.</w:t>
      </w:r>
    </w:p>
    <w:p w14:paraId="6A8F5DF5" w14:textId="77777777" w:rsidR="008409E4" w:rsidRDefault="008409E4" w:rsidP="00B60610">
      <w:pPr>
        <w:spacing w:after="90" w:line="283" w:lineRule="auto"/>
        <w:jc w:val="both"/>
        <w:rPr>
          <w:rFonts w:ascii="Georgia" w:eastAsia="Georgia" w:hAnsi="Georgia" w:cs="Georgia"/>
          <w:sz w:val="21"/>
          <w:szCs w:val="21"/>
        </w:rPr>
      </w:pPr>
    </w:p>
    <w:p w14:paraId="19145CEB" w14:textId="77777777" w:rsidR="008409E4" w:rsidRDefault="00000000" w:rsidP="00B60610">
      <w:pPr>
        <w:keepNext/>
        <w:spacing w:after="90" w:line="283" w:lineRule="auto"/>
        <w:jc w:val="both"/>
        <w:rPr>
          <w:rFonts w:ascii="Georgia" w:eastAsia="Georgia" w:hAnsi="Georgia" w:cs="Georgia"/>
          <w:b/>
          <w:bCs/>
          <w:color w:val="50634D"/>
        </w:rPr>
      </w:pPr>
      <w:r>
        <w:rPr>
          <w:rFonts w:ascii="Georgia" w:eastAsia="Georgia" w:hAnsi="Georgia" w:cs="Georgia"/>
          <w:b/>
          <w:bCs/>
          <w:color w:val="50634D"/>
        </w:rPr>
        <w:t>1.2.1 Fire and extinguishing-water alteration as testable confounds</w:t>
      </w:r>
    </w:p>
    <w:p w14:paraId="3D3D5FD7" w14:textId="77777777" w:rsidR="008409E4" w:rsidRDefault="00000000" w:rsidP="00B60610">
      <w:pPr>
        <w:spacing w:after="90" w:line="283" w:lineRule="auto"/>
        <w:jc w:val="both"/>
        <w:rPr>
          <w:rFonts w:ascii="Georgia" w:eastAsia="Georgia" w:hAnsi="Georgia" w:cs="Georgia"/>
          <w:color w:val="50634D"/>
          <w:sz w:val="21"/>
          <w:szCs w:val="21"/>
        </w:rPr>
      </w:pPr>
      <w:r>
        <w:rPr>
          <w:rFonts w:ascii="Georgia" w:eastAsia="Georgia" w:hAnsi="Georgia" w:cs="Georgia"/>
          <w:color w:val="50634D"/>
          <w:sz w:val="21"/>
          <w:szCs w:val="21"/>
        </w:rPr>
        <w:t>The 1532 fire and extinguishing water could have modified pre-existing biological margins or, in principle, generated secondary fluorescence and migration patterns. Heat can denature proteins, alter heme products and cellulose, and promote fluorescence from thermally modified organic material; water can dissolve and redistribute soluble proteins and chromophores along yarns or toward evaporation fronts. These possibilities should be tested rather than treated as generic uncertainty. Relevant controls would compare untreated bloodstained linen with matched samples exposed to graded heating, smoke, water flow, wet-dry cycling, and combinations of heat and extinguishing water. Biological phase-separation margins should be assessed for continuity with a cellular-rich source, protein gradients, fibrin-related markers, and wound-localized spatial coherence. Damage-derived patterns would be expected to correlate more strongly with scorch proximity, water-flow boundaries, generalized cellulose alteration, or migration across wound and non-wound regions. None of these discriminators has yet been mapped on the Shroud at modern spatial resolution.</w:t>
      </w:r>
    </w:p>
    <w:p w14:paraId="3B624E64" w14:textId="77777777" w:rsidR="00C20465" w:rsidRDefault="00C20465" w:rsidP="00B60610">
      <w:pPr>
        <w:spacing w:after="90" w:line="283" w:lineRule="auto"/>
        <w:jc w:val="both"/>
        <w:rPr>
          <w:rFonts w:ascii="Georgia" w:eastAsia="Georgia" w:hAnsi="Georgia" w:cs="Georgia"/>
          <w:color w:val="50634D"/>
          <w:sz w:val="21"/>
          <w:szCs w:val="21"/>
        </w:rPr>
      </w:pPr>
    </w:p>
    <w:p w14:paraId="7CC77322" w14:textId="77777777" w:rsidR="00C20465" w:rsidRDefault="00C20465" w:rsidP="00B60610">
      <w:pPr>
        <w:spacing w:after="90" w:line="283" w:lineRule="auto"/>
        <w:jc w:val="both"/>
        <w:rPr>
          <w:rFonts w:ascii="Georgia" w:eastAsia="Georgia" w:hAnsi="Georgia" w:cs="Georgia"/>
          <w:color w:val="50634D"/>
          <w:sz w:val="21"/>
          <w:szCs w:val="21"/>
        </w:rPr>
      </w:pPr>
    </w:p>
    <w:p w14:paraId="25242394" w14:textId="77777777" w:rsidR="00C20465" w:rsidRDefault="00C20465" w:rsidP="00B60610">
      <w:pPr>
        <w:spacing w:after="90" w:line="283" w:lineRule="auto"/>
        <w:jc w:val="both"/>
        <w:rPr>
          <w:rFonts w:ascii="Georgia" w:eastAsia="Georgia" w:hAnsi="Georgia" w:cs="Georgia"/>
          <w:color w:val="50634D"/>
          <w:sz w:val="21"/>
          <w:szCs w:val="21"/>
        </w:rPr>
      </w:pPr>
    </w:p>
    <w:p w14:paraId="769284FB" w14:textId="77777777" w:rsidR="008409E4" w:rsidRDefault="008409E4" w:rsidP="00B60610">
      <w:pPr>
        <w:spacing w:after="90" w:line="283" w:lineRule="auto"/>
        <w:jc w:val="both"/>
        <w:rPr>
          <w:rFonts w:ascii="Georgia" w:eastAsia="Georgia" w:hAnsi="Georgia" w:cs="Georgia"/>
          <w:color w:val="50634D"/>
          <w:sz w:val="21"/>
          <w:szCs w:val="21"/>
        </w:rPr>
      </w:pPr>
    </w:p>
    <w:p w14:paraId="6E049521" w14:textId="77777777" w:rsidR="008409E4" w:rsidRDefault="00000000" w:rsidP="00B60610">
      <w:pPr>
        <w:spacing w:after="90" w:line="283" w:lineRule="auto"/>
        <w:jc w:val="both"/>
        <w:rPr>
          <w:rFonts w:ascii="Georgia" w:eastAsia="Georgia" w:hAnsi="Georgia" w:cs="Georgia"/>
          <w:b/>
          <w:bCs/>
          <w:color w:val="50634D"/>
        </w:rPr>
      </w:pPr>
      <w:r>
        <w:rPr>
          <w:rFonts w:ascii="Georgia" w:eastAsia="Georgia" w:hAnsi="Georgia" w:cs="Georgia"/>
          <w:b/>
          <w:bCs/>
          <w:color w:val="50634D"/>
        </w:rPr>
        <w:lastRenderedPageBreak/>
        <w:t>1.3 Ultraviolet fluorescent margins</w:t>
      </w:r>
    </w:p>
    <w:p w14:paraId="40DA0E3F" w14:textId="77777777" w:rsidR="008409E4" w:rsidRDefault="008409E4" w:rsidP="00B60610">
      <w:pPr>
        <w:spacing w:after="90" w:line="283" w:lineRule="auto"/>
        <w:jc w:val="both"/>
        <w:rPr>
          <w:rFonts w:ascii="Georgia" w:eastAsia="Georgia" w:hAnsi="Georgia" w:cs="Georgia"/>
          <w:sz w:val="21"/>
          <w:szCs w:val="21"/>
        </w:rPr>
      </w:pPr>
    </w:p>
    <w:p w14:paraId="08615916"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 xml:space="preserve">Miller and Pellicori's 1978 ultraviolet fluorescence photography revealed pale fluorescent margins around a number of blood marks, including regions at the wrist, side, head, and feet [3,4]. Serum on linen fluoresces more readily than intact dried whole blood because red cells and hemoglobin strongly absorb and mask fluorescence. A margin outside the red cellular portion is therefore compatible with plasma or serum migrating ahead of, or separating from, the cellular clot. Adler interpreted such margins as clot-retraction serum rings [31]. Importantly, Kearse later emphasized that halos are present around many, not all, Shroud blood marks [6,11]. The absence of a halo is therefore part of the evidence, not an inconvenience to be ignored. A fluorescent or pale peripheral margin is presumptive evidence of differential fluid migration, not a chemically specific identification of serum. Serum, plasma-rich exudate, pleural or interstitial fluid, water-mediated redistribution, and sequential artificial application of a clear fluid followed by whole blood must be distinguished by spatially resolved chemical analysis rather than UV morphology alone [24].</w:t>
      </w:r>
    </w:p>
    <w:p w14:paraId="19A35E70" w14:textId="77777777" w:rsidR="008409E4" w:rsidRDefault="008409E4" w:rsidP="00B60610">
      <w:pPr>
        <w:spacing w:after="90" w:line="283" w:lineRule="auto"/>
        <w:jc w:val="both"/>
        <w:rPr>
          <w:rFonts w:ascii="Georgia" w:eastAsia="Georgia" w:hAnsi="Georgia" w:cs="Georgia"/>
          <w:sz w:val="21"/>
          <w:szCs w:val="21"/>
        </w:rPr>
      </w:pPr>
    </w:p>
    <w:p w14:paraId="2B6AA011" w14:textId="77777777" w:rsidR="008409E4" w:rsidRDefault="00000000" w:rsidP="00B60610">
      <w:pPr>
        <w:spacing w:after="90" w:line="283" w:lineRule="auto"/>
        <w:jc w:val="both"/>
        <w:rPr>
          <w:rFonts w:ascii="Georgia" w:eastAsia="Georgia" w:hAnsi="Georgia" w:cs="Georgia"/>
          <w:b/>
          <w:bCs/>
          <w:color w:val="50634D"/>
        </w:rPr>
      </w:pPr>
      <w:r>
        <w:rPr>
          <w:rFonts w:ascii="Georgia" w:eastAsia="Georgia" w:hAnsi="Georgia" w:cs="Georgia"/>
          <w:b/>
          <w:bCs/>
          <w:color w:val="50634D"/>
        </w:rPr>
        <w:t>1.4 The wrist region as a composite pattern</w:t>
      </w:r>
    </w:p>
    <w:p w14:paraId="348B7A8D" w14:textId="77777777" w:rsidR="008409E4" w:rsidRDefault="008409E4" w:rsidP="00B60610">
      <w:pPr>
        <w:spacing w:after="90" w:line="283" w:lineRule="auto"/>
        <w:jc w:val="both"/>
        <w:rPr>
          <w:rFonts w:ascii="Georgia" w:eastAsia="Georgia" w:hAnsi="Georgia" w:cs="Georgia"/>
          <w:sz w:val="21"/>
          <w:szCs w:val="21"/>
        </w:rPr>
      </w:pPr>
    </w:p>
    <w:p w14:paraId="65E94CE9"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The wrist region is particularly important because it appears to contain several morphologically distinct elements: a central wound area, elongated flows generated while the arm was elevated or repositioned, and a serum-like fluorescent edge that is incomplete rather than uniformly concentric. Such complexity is exactly what would be expected if blood was deposited in more than one phase. It is not well described by the simplistic alternatives “all dry clot” versus “all fresh liquid.” The scientifically productive question is whether multiple phases can be reconstructed from a single wound under realistic conditions.</w:t>
      </w:r>
    </w:p>
    <w:p w14:paraId="423870BE" w14:textId="77777777" w:rsidR="008409E4" w:rsidRDefault="008409E4" w:rsidP="00B60610">
      <w:pPr>
        <w:spacing w:after="90" w:line="283" w:lineRule="auto"/>
        <w:jc w:val="both"/>
        <w:rPr>
          <w:rFonts w:ascii="Georgia" w:eastAsia="Georgia" w:hAnsi="Georgia" w:cs="Georgia"/>
          <w:sz w:val="21"/>
          <w:szCs w:val="21"/>
        </w:rPr>
      </w:pPr>
    </w:p>
    <w:p w14:paraId="0A4A0AA9" w14:textId="77777777" w:rsidR="008409E4" w:rsidRDefault="00000000" w:rsidP="00B60610">
      <w:pPr>
        <w:pStyle w:val="Ttulo1"/>
        <w:spacing w:after="90" w:line="283" w:lineRule="auto"/>
        <w:jc w:val="both"/>
        <w:rPr>
          <w:rFonts w:ascii="Georgia" w:eastAsia="Georgia" w:hAnsi="Georgia" w:cs="Georgia"/>
          <w:b/>
          <w:bCs/>
          <w:color w:val="6B2124"/>
          <w:sz w:val="28"/>
          <w:szCs w:val="28"/>
        </w:rPr>
      </w:pPr>
      <w:bookmarkStart w:id="7" w:name="_gwu06clq8f2s" w:colFirst="0" w:colLast="0"/>
      <w:bookmarkEnd w:id="7"/>
      <w:r>
        <w:rPr>
          <w:rFonts w:ascii="Georgia" w:eastAsia="Georgia" w:hAnsi="Georgia" w:cs="Georgia"/>
          <w:b/>
          <w:bCs/>
          <w:color w:val="6B2124"/>
          <w:sz w:val="28"/>
          <w:szCs w:val="28"/>
        </w:rPr>
        <w:t>2. HEMATOLOGY OF CLOT FORMATION AND SERUM SEPARATION</w:t>
      </w:r>
    </w:p>
    <w:p w14:paraId="55879C82" w14:textId="77777777" w:rsidR="008409E4" w:rsidRDefault="008409E4" w:rsidP="00B60610">
      <w:pPr>
        <w:spacing w:after="90" w:line="283" w:lineRule="auto"/>
        <w:jc w:val="both"/>
        <w:rPr>
          <w:rFonts w:ascii="Georgia" w:eastAsia="Georgia" w:hAnsi="Georgia" w:cs="Georgia"/>
          <w:sz w:val="21"/>
          <w:szCs w:val="21"/>
        </w:rPr>
      </w:pPr>
    </w:p>
    <w:p w14:paraId="4E8BFA06" w14:textId="77777777" w:rsidR="008409E4" w:rsidRDefault="00000000" w:rsidP="00B60610">
      <w:pPr>
        <w:spacing w:after="90" w:line="283" w:lineRule="auto"/>
        <w:jc w:val="both"/>
        <w:rPr>
          <w:rFonts w:ascii="Georgia" w:eastAsia="Georgia" w:hAnsi="Georgia" w:cs="Georgia"/>
          <w:b/>
          <w:bCs/>
          <w:color w:val="50634D"/>
        </w:rPr>
      </w:pPr>
      <w:r>
        <w:rPr>
          <w:rFonts w:ascii="Georgia" w:eastAsia="Georgia" w:hAnsi="Georgia" w:cs="Georgia"/>
          <w:b/>
          <w:bCs/>
          <w:color w:val="50634D"/>
        </w:rPr>
        <w:t>2.1 From whole blood to clot and serum</w:t>
      </w:r>
    </w:p>
    <w:p w14:paraId="6B038700" w14:textId="77777777" w:rsidR="008409E4" w:rsidRDefault="008409E4" w:rsidP="00B60610">
      <w:pPr>
        <w:spacing w:after="90" w:line="283" w:lineRule="auto"/>
        <w:jc w:val="both"/>
        <w:rPr>
          <w:rFonts w:ascii="Georgia" w:eastAsia="Georgia" w:hAnsi="Georgia" w:cs="Georgia"/>
          <w:sz w:val="21"/>
          <w:szCs w:val="21"/>
        </w:rPr>
      </w:pPr>
    </w:p>
    <w:p w14:paraId="015F0E81"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Fresh whole blood contains formed elements suspended in plasma. After tissue injury, platelet activation and the coagulation cascade generate fibrin, which stabilizes a cellular mass. Over tens of minutes, platelets contract and the fibrin network retracts. Liquid is expelled from the contracting clot. Because fibrinogen and several clotting factors have been consumed or retained in the clot, the expelled liquid is serum rather than plasma in the strict biochemical sense. On skin, serum can pool centrally, migrate peripherally, or drain under gravity, depending on wound topography, blood volume, surface wetting, temperature, and humidity.</w:t>
      </w:r>
    </w:p>
    <w:p w14:paraId="36BC15F3" w14:textId="77777777" w:rsidR="008409E4" w:rsidRDefault="008409E4" w:rsidP="00B60610">
      <w:pPr>
        <w:spacing w:after="90" w:line="283" w:lineRule="auto"/>
        <w:jc w:val="both"/>
        <w:rPr>
          <w:rFonts w:ascii="Georgia" w:eastAsia="Georgia" w:hAnsi="Georgia" w:cs="Georgia"/>
          <w:sz w:val="21"/>
          <w:szCs w:val="21"/>
        </w:rPr>
      </w:pPr>
    </w:p>
    <w:p w14:paraId="68A2CFC3" w14:textId="77777777" w:rsidR="008409E4" w:rsidRDefault="00000000" w:rsidP="00B60610">
      <w:pPr>
        <w:spacing w:after="90" w:line="283" w:lineRule="auto"/>
        <w:jc w:val="both"/>
        <w:rPr>
          <w:rFonts w:ascii="Georgia" w:eastAsia="Georgia" w:hAnsi="Georgia" w:cs="Georgia"/>
          <w:b/>
          <w:bCs/>
          <w:color w:val="50634D"/>
        </w:rPr>
      </w:pPr>
      <w:r>
        <w:rPr>
          <w:rFonts w:ascii="Georgia" w:eastAsia="Georgia" w:hAnsi="Georgia" w:cs="Georgia"/>
          <w:b/>
          <w:bCs/>
          <w:color w:val="50634D"/>
        </w:rPr>
        <w:t>2.2 Why serum can form a fluorescent halo</w:t>
      </w:r>
    </w:p>
    <w:p w14:paraId="490951E4" w14:textId="77777777" w:rsidR="008409E4" w:rsidRDefault="008409E4" w:rsidP="00B60610">
      <w:pPr>
        <w:spacing w:after="90" w:line="283" w:lineRule="auto"/>
        <w:jc w:val="both"/>
        <w:rPr>
          <w:rFonts w:ascii="Georgia" w:eastAsia="Georgia" w:hAnsi="Georgia" w:cs="Georgia"/>
          <w:sz w:val="21"/>
          <w:szCs w:val="21"/>
        </w:rPr>
      </w:pPr>
    </w:p>
    <w:p w14:paraId="059780CE"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 xml:space="preserve">When a clot or partly clotted blood contacts absorbent linen, the lower-viscosity liquid fraction can wick laterally farther than the red-cell-rich component. Linen capillaries and inter-yarn spaces amplify this separation. After drying, the cellular core appears reddish-brown while the protein-rich peripheral fraction—potentially serum-rich—may be nearly invisible in visible light but detectable under 365 nm UV illumination. The word “halo” should not imply a perfect ring. In real stains, the serum-rich zone can be eccentric, </w:t>
        <w:lastRenderedPageBreak/>
        <w:t>interrupted, pointed, or confined to the downhill edge. The physics of blood drying drops, including ring formation driven by capillary flow, is documented in controlled laboratory studies [28].</w:t>
      </w:r>
    </w:p>
    <w:p w14:paraId="203524AC" w14:textId="77777777" w:rsidR="008409E4" w:rsidRDefault="008409E4" w:rsidP="00B60610">
      <w:pPr>
        <w:spacing w:after="90" w:line="283" w:lineRule="auto"/>
        <w:jc w:val="both"/>
        <w:rPr>
          <w:rFonts w:ascii="Georgia" w:eastAsia="Georgia" w:hAnsi="Georgia" w:cs="Georgia"/>
          <w:sz w:val="21"/>
          <w:szCs w:val="21"/>
        </w:rPr>
      </w:pPr>
    </w:p>
    <w:p w14:paraId="31CC990D" w14:textId="77777777" w:rsidR="008409E4" w:rsidRDefault="00000000" w:rsidP="00B60610">
      <w:pPr>
        <w:spacing w:after="90" w:line="283" w:lineRule="auto"/>
        <w:jc w:val="both"/>
        <w:rPr>
          <w:rFonts w:ascii="Georgia" w:eastAsia="Georgia" w:hAnsi="Georgia" w:cs="Georgia"/>
          <w:b/>
          <w:bCs/>
          <w:color w:val="50634D"/>
        </w:rPr>
      </w:pPr>
      <w:r>
        <w:rPr>
          <w:rFonts w:ascii="Georgia" w:eastAsia="Georgia" w:hAnsi="Georgia" w:cs="Georgia"/>
          <w:b/>
          <w:bCs/>
          <w:color w:val="50634D"/>
        </w:rPr>
        <w:t>2.3 Kearse's 365 nm UV experiments</w:t>
      </w:r>
    </w:p>
    <w:p w14:paraId="111854E7" w14:textId="77777777" w:rsidR="008409E4" w:rsidRDefault="008409E4" w:rsidP="00B60610">
      <w:pPr>
        <w:spacing w:after="90" w:line="283" w:lineRule="auto"/>
        <w:jc w:val="both"/>
        <w:rPr>
          <w:rFonts w:ascii="Georgia" w:eastAsia="Georgia" w:hAnsi="Georgia" w:cs="Georgia"/>
          <w:sz w:val="21"/>
          <w:szCs w:val="21"/>
        </w:rPr>
      </w:pPr>
    </w:p>
    <w:p w14:paraId="6D7DD8D7"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Kearse demonstrated in the Journal of Forensic Sciences that 365-nm ultraviolet illumination detects small quantities of plasma and serum more effectively than 395-nm light [6]. In his transfer experiments, blood allowed to clot on skin before contact with absorbent material produced fluorescent serum edges. Fresh liquid blood added directly to material after clot disruption did not produce the same peripheral edge. This does not mean that every halo proves transfer from a corpse, but it supports the physical inference that a peripheral protein-rich fraction can reflect prior phase separation and may be difficult to explain through a single homogeneous application of liquid whole blood.</w:t>
      </w:r>
    </w:p>
    <w:p w14:paraId="0FF48F6B" w14:textId="77777777" w:rsidR="008409E4" w:rsidRDefault="008409E4" w:rsidP="00B60610">
      <w:pPr>
        <w:spacing w:after="90" w:line="283" w:lineRule="auto"/>
        <w:jc w:val="both"/>
        <w:rPr>
          <w:rFonts w:ascii="Georgia" w:eastAsia="Georgia" w:hAnsi="Georgia" w:cs="Georgia"/>
          <w:sz w:val="21"/>
          <w:szCs w:val="21"/>
        </w:rPr>
      </w:pPr>
    </w:p>
    <w:p w14:paraId="342EB125"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noProof/>
          <w:sz w:val="21"/>
          <w:szCs w:val="21"/>
        </w:rPr>
        <w:drawing>
          <wp:inline distT="114300" distB="114300" distL="114300" distR="114300" wp14:anchorId="08F5E43B" wp14:editId="5C416BA5">
            <wp:extent cx="5715000" cy="2821557"/>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a:stretch>
                      <a:fillRect/>
                    </a:stretch>
                  </pic:blipFill>
                  <pic:spPr>
                    <a:xfrm>
                      <a:off x="0" y="0"/>
                      <a:ext cx="5715000" cy="2821557"/>
                    </a:xfrm>
                    <a:prstGeom prst="rect">
                      <a:avLst/>
                    </a:prstGeom>
                    <a:ln/>
                  </pic:spPr>
                </pic:pic>
              </a:graphicData>
            </a:graphic>
          </wp:inline>
        </w:drawing>
      </w:r>
    </w:p>
    <w:p w14:paraId="7E4EB7E6" w14:textId="77777777" w:rsidR="008409E4" w:rsidRDefault="00000000" w:rsidP="00B60610">
      <w:pPr>
        <w:spacing w:after="90" w:line="283" w:lineRule="auto"/>
        <w:jc w:val="both"/>
        <w:rPr>
          <w:rFonts w:ascii="Georgia" w:eastAsia="Georgia" w:hAnsi="Georgia" w:cs="Georgia"/>
          <w:i/>
          <w:iCs/>
          <w:sz w:val="18"/>
          <w:szCs w:val="18"/>
        </w:rPr>
      </w:pPr>
      <w:r>
        <w:rPr>
          <w:rFonts w:ascii="Georgia" w:eastAsia="Georgia" w:hAnsi="Georgia" w:cs="Georgia"/>
          <w:i/>
          <w:iCs/>
          <w:sz w:val="18"/>
          <w:szCs w:val="18"/>
        </w:rPr>
        <w:t>Figure 1. Coagulation-dependent formation of fluorescent serum borders after blood transfer. Control and anticoagulant-treated blood were placed on skin, overlaid with filter paper after 20–25 minutes, and examined under visible and 365 nm ultraviolet illumination after drying. Fluorescent serum borders were present in control transfers but absent when coagulation was impaired. Adapted from Kearse [11], Figure 5, under CC BY 4.0.</w:t>
      </w:r>
    </w:p>
    <w:p w14:paraId="2CF1DC21" w14:textId="77777777" w:rsidR="008409E4" w:rsidRDefault="008409E4" w:rsidP="00B60610">
      <w:pPr>
        <w:spacing w:after="90" w:line="283" w:lineRule="auto"/>
        <w:jc w:val="both"/>
        <w:rPr>
          <w:rFonts w:ascii="Georgia" w:eastAsia="Georgia" w:hAnsi="Georgia" w:cs="Georgia"/>
          <w:sz w:val="21"/>
          <w:szCs w:val="21"/>
        </w:rPr>
      </w:pPr>
    </w:p>
    <w:p w14:paraId="5596B547" w14:textId="77777777" w:rsidR="008409E4" w:rsidRDefault="00000000" w:rsidP="00B60610">
      <w:pPr>
        <w:spacing w:after="90" w:line="283" w:lineRule="auto"/>
        <w:jc w:val="both"/>
        <w:rPr>
          <w:rFonts w:ascii="Georgia" w:eastAsia="Georgia" w:hAnsi="Georgia" w:cs="Georgia"/>
          <w:i/>
          <w:iCs/>
          <w:color w:val="6B6B6B"/>
          <w:sz w:val="16"/>
          <w:szCs w:val="16"/>
        </w:rPr>
      </w:pPr>
      <w:r>
        <w:rPr>
          <w:rFonts w:ascii="Georgia" w:eastAsia="Georgia" w:hAnsi="Georgia" w:cs="Georgia"/>
          <w:i/>
          <w:iCs/>
          <w:color w:val="6B6B6B"/>
          <w:sz w:val="16"/>
          <w:szCs w:val="16"/>
        </w:rPr>
        <w:t>Image description: Visible-light and ultraviolet photographs compare control blood with anticoagulant-treated blood transferred from skin to absorbent paper. Control transfers show bright fluorescent peripheral borders, whereas anticoagulated samples lack a comparable serum edge.</w:t>
      </w:r>
    </w:p>
    <w:p w14:paraId="11B55616" w14:textId="77777777" w:rsidR="008409E4" w:rsidRDefault="008409E4" w:rsidP="00B60610">
      <w:pPr>
        <w:spacing w:after="90" w:line="283" w:lineRule="auto"/>
        <w:jc w:val="both"/>
        <w:rPr>
          <w:rFonts w:ascii="Georgia" w:eastAsia="Georgia" w:hAnsi="Georgia" w:cs="Georgia"/>
          <w:sz w:val="21"/>
          <w:szCs w:val="21"/>
        </w:rPr>
      </w:pPr>
    </w:p>
    <w:p w14:paraId="74B4560B" w14:textId="77777777" w:rsidR="008409E4" w:rsidRDefault="00000000" w:rsidP="00B60610">
      <w:pPr>
        <w:spacing w:after="90" w:line="283" w:lineRule="auto"/>
        <w:jc w:val="both"/>
        <w:rPr>
          <w:rFonts w:ascii="Georgia" w:eastAsia="Georgia" w:hAnsi="Georgia" w:cs="Georgia"/>
          <w:b/>
          <w:bCs/>
          <w:color w:val="50634D"/>
        </w:rPr>
      </w:pPr>
      <w:r>
        <w:rPr>
          <w:rFonts w:ascii="Georgia" w:eastAsia="Georgia" w:hAnsi="Georgia" w:cs="Georgia"/>
          <w:b/>
          <w:bCs/>
          <w:color w:val="50634D"/>
        </w:rPr>
        <w:t>2.4 Time dependence of clot transfer</w:t>
      </w:r>
    </w:p>
    <w:p w14:paraId="4555CBD9" w14:textId="77777777" w:rsidR="008409E4" w:rsidRDefault="008409E4" w:rsidP="00B60610">
      <w:pPr>
        <w:spacing w:after="90" w:line="283" w:lineRule="auto"/>
        <w:jc w:val="both"/>
        <w:rPr>
          <w:rFonts w:ascii="Georgia" w:eastAsia="Georgia" w:hAnsi="Georgia" w:cs="Georgia"/>
          <w:sz w:val="21"/>
          <w:szCs w:val="21"/>
        </w:rPr>
      </w:pPr>
    </w:p>
    <w:p w14:paraId="077A1462"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 xml:space="preserve">Lavoie and colleagues placed herringbone linen onto blood clots at intervals. At room temperature, recognizable mirror-image transfer declined sharply as the clot surface dried; in their setup, strong transfer was largely limited to the first 1 to 1.5 hours, with somewhat longer windows under moist conditions or when serum remained around a horizontal clot [15]. The exact times are not universal, because clot size, skin temperature, hematocrit, ambient conditions, pressure, and fabric differ. The important principle is that clot </w:t>
        <w:lastRenderedPageBreak/>
        <w:t>transfer has a time window that can be extended by retained moisture or rehydration. Kearse's 2023 humidity experiments demonstrated transfer from blood dried for days or weeks after high-humidity rehydration, but the maximum delay for a recognizable clot-associated serum halo specifically—as distinct from bulk blood transfer—has not been systematically tested. The serum-halo transfer window may be more constrained than that for bulk transfer, because halo morphology depends on protein-gradient preservation that could degrade with time and cycling humidity. This should be a priority for the proposed experimental program.</w:t>
      </w:r>
    </w:p>
    <w:p w14:paraId="716CB131" w14:textId="77777777" w:rsidR="008409E4" w:rsidRDefault="008409E4" w:rsidP="00B60610">
      <w:pPr>
        <w:spacing w:after="90" w:line="283" w:lineRule="auto"/>
        <w:jc w:val="both"/>
        <w:rPr>
          <w:rFonts w:ascii="Georgia" w:eastAsia="Georgia" w:hAnsi="Georgia" w:cs="Georgia"/>
          <w:sz w:val="21"/>
          <w:szCs w:val="21"/>
        </w:rPr>
      </w:pPr>
    </w:p>
    <w:p w14:paraId="71D68A7A" w14:textId="77777777" w:rsidR="008409E4" w:rsidRDefault="00000000" w:rsidP="00B60610">
      <w:pPr>
        <w:pStyle w:val="Ttulo1"/>
        <w:spacing w:after="90" w:line="283" w:lineRule="auto"/>
        <w:jc w:val="both"/>
        <w:rPr>
          <w:rFonts w:ascii="Georgia" w:eastAsia="Georgia" w:hAnsi="Georgia" w:cs="Georgia"/>
          <w:b/>
          <w:bCs/>
          <w:color w:val="6B2124"/>
          <w:sz w:val="28"/>
          <w:szCs w:val="28"/>
        </w:rPr>
      </w:pPr>
      <w:bookmarkStart w:id="8" w:name="_uutbv5cc0shm" w:colFirst="0" w:colLast="0"/>
      <w:bookmarkEnd w:id="8"/>
      <w:r>
        <w:rPr>
          <w:rFonts w:ascii="Georgia" w:eastAsia="Georgia" w:hAnsi="Georgia" w:cs="Georgia"/>
          <w:b/>
          <w:bCs/>
          <w:color w:val="6B2124"/>
          <w:sz w:val="28"/>
          <w:szCs w:val="28"/>
        </w:rPr>
        <w:t>3. HUMIDITY, TEMPERATURE, AND DELAYED TRANSFER</w:t>
      </w:r>
    </w:p>
    <w:p w14:paraId="4E8B56E4" w14:textId="77777777" w:rsidR="008409E4" w:rsidRDefault="008409E4" w:rsidP="00B60610">
      <w:pPr>
        <w:spacing w:after="90" w:line="283" w:lineRule="auto"/>
        <w:jc w:val="both"/>
        <w:rPr>
          <w:rFonts w:ascii="Georgia" w:eastAsia="Georgia" w:hAnsi="Georgia" w:cs="Georgia"/>
          <w:sz w:val="21"/>
          <w:szCs w:val="21"/>
        </w:rPr>
      </w:pPr>
    </w:p>
    <w:p w14:paraId="52914A4F" w14:textId="77777777" w:rsidR="008409E4" w:rsidRDefault="00000000" w:rsidP="00B60610">
      <w:pPr>
        <w:spacing w:after="90" w:line="283" w:lineRule="auto"/>
        <w:jc w:val="both"/>
        <w:rPr>
          <w:rFonts w:ascii="Georgia" w:eastAsia="Georgia" w:hAnsi="Georgia" w:cs="Georgia"/>
          <w:b/>
          <w:bCs/>
          <w:color w:val="50634D"/>
        </w:rPr>
      </w:pPr>
      <w:r>
        <w:rPr>
          <w:rFonts w:ascii="Georgia" w:eastAsia="Georgia" w:hAnsi="Georgia" w:cs="Georgia"/>
          <w:b/>
          <w:bCs/>
          <w:color w:val="50634D"/>
        </w:rPr>
        <w:t>3.1 High humidity can rehydrate dried blood</w:t>
      </w:r>
    </w:p>
    <w:p w14:paraId="2ADC9E9A" w14:textId="77777777" w:rsidR="008409E4" w:rsidRDefault="008409E4" w:rsidP="00B60610">
      <w:pPr>
        <w:spacing w:after="90" w:line="283" w:lineRule="auto"/>
        <w:jc w:val="both"/>
        <w:rPr>
          <w:rFonts w:ascii="Georgia" w:eastAsia="Georgia" w:hAnsi="Georgia" w:cs="Georgia"/>
          <w:sz w:val="21"/>
          <w:szCs w:val="21"/>
        </w:rPr>
      </w:pPr>
    </w:p>
    <w:p w14:paraId="6CBD54FB"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Kearse's 2023 experiments directly addressed a longstanding objection: if blood had dried on the body before burial, how could it imprint cleanly onto linen? Human blood was dried on nonabsorbent surfaces and skin, then exposed to different temperature-humidity conditions. High relative humidity rehydrated dried stains to a gelatinous state and restored transfer ability, with the resulting transfer reproducing the edges and pattern of the original stain closely rather than blurring it. Even blood aged for days or weeks could be remoistened and transferred under sufficiently humid conditions [10]. This provides a natural mechanism for delayed contact transfer without washing, solvents, or artistic manipulation.</w:t>
      </w:r>
    </w:p>
    <w:p w14:paraId="367215A0" w14:textId="77777777" w:rsidR="008409E4" w:rsidRDefault="008409E4" w:rsidP="00B60610">
      <w:pPr>
        <w:spacing w:after="90" w:line="283" w:lineRule="auto"/>
        <w:jc w:val="both"/>
        <w:rPr>
          <w:rFonts w:ascii="Georgia" w:eastAsia="Georgia" w:hAnsi="Georgia" w:cs="Georgia"/>
          <w:sz w:val="21"/>
          <w:szCs w:val="21"/>
        </w:rPr>
      </w:pPr>
    </w:p>
    <w:p w14:paraId="51B45917" w14:textId="77777777" w:rsidR="008409E4" w:rsidRDefault="00000000" w:rsidP="00B60610">
      <w:pPr>
        <w:spacing w:after="90" w:line="283" w:lineRule="auto"/>
        <w:jc w:val="both"/>
        <w:rPr>
          <w:rFonts w:ascii="Georgia" w:eastAsia="Georgia" w:hAnsi="Georgia" w:cs="Georgia"/>
          <w:b/>
          <w:bCs/>
          <w:color w:val="50634D"/>
        </w:rPr>
      </w:pPr>
      <w:r>
        <w:rPr>
          <w:rFonts w:ascii="Georgia" w:eastAsia="Georgia" w:hAnsi="Georgia" w:cs="Georgia"/>
          <w:b/>
          <w:bCs/>
          <w:color w:val="50634D"/>
        </w:rPr>
        <w:t>3.2 Rehydration transfers reproduce the original stain faithfully</w:t>
      </w:r>
    </w:p>
    <w:p w14:paraId="0ECAA984" w14:textId="77777777" w:rsidR="008409E4" w:rsidRDefault="008409E4" w:rsidP="00B60610">
      <w:pPr>
        <w:spacing w:after="90" w:line="283" w:lineRule="auto"/>
        <w:jc w:val="both"/>
        <w:rPr>
          <w:rFonts w:ascii="Georgia" w:eastAsia="Georgia" w:hAnsi="Georgia" w:cs="Georgia"/>
          <w:sz w:val="21"/>
          <w:szCs w:val="21"/>
        </w:rPr>
      </w:pPr>
    </w:p>
    <w:p w14:paraId="0FD5DE7C"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Rehydration of completely dried blood — dry stain, later placed in a high-humidity environment, then contacted with an absorbent surface — does not produce a blurred or degraded transfer. Kearse reports that the resulting edges are sharp and the pattern faithfully reproduces the shape of the original stain on skin [10]. This should not be confused with a separate and physically distinct phenomenon: Kearse's investigation of fresh blood drying while already exposed to high ambient humidity, in which coagulation is impaired and normal plasma-blister (halo) formation does not proceed — approximating what a non-clotting sample would look like, without a properly developed halo [8,9]. That impaired-coagulation effect concerns the initial drying of fresh blood, not the later transfer of an already-dried stain, and the two should not be read as evidence about one another; an earlier draft of this review conflated them.</w:t>
      </w:r>
    </w:p>
    <w:p w14:paraId="1AC4F0FF" w14:textId="77777777" w:rsidR="008409E4" w:rsidRDefault="008409E4" w:rsidP="00B60610">
      <w:pPr>
        <w:spacing w:after="90" w:line="283" w:lineRule="auto"/>
        <w:jc w:val="both"/>
        <w:rPr>
          <w:rFonts w:ascii="Georgia" w:eastAsia="Georgia" w:hAnsi="Georgia" w:cs="Georgia"/>
          <w:sz w:val="21"/>
          <w:szCs w:val="21"/>
        </w:rPr>
      </w:pPr>
    </w:p>
    <w:p w14:paraId="105E3816"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noProof/>
          <w:sz w:val="21"/>
          <w:szCs w:val="21"/>
        </w:rPr>
        <w:lastRenderedPageBreak/>
        <w:drawing>
          <wp:inline distT="114300" distB="114300" distL="114300" distR="114300" wp14:anchorId="54CB8C54" wp14:editId="1FD3683B">
            <wp:extent cx="5475449" cy="3810000"/>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5475449" cy="3810000"/>
                    </a:xfrm>
                    <a:prstGeom prst="rect">
                      <a:avLst/>
                    </a:prstGeom>
                    <a:ln/>
                  </pic:spPr>
                </pic:pic>
              </a:graphicData>
            </a:graphic>
          </wp:inline>
        </w:drawing>
      </w:r>
    </w:p>
    <w:p w14:paraId="099A687B" w14:textId="77777777" w:rsidR="008409E4" w:rsidRDefault="00000000" w:rsidP="00B60610">
      <w:pPr>
        <w:spacing w:after="90" w:line="283" w:lineRule="auto"/>
        <w:jc w:val="both"/>
        <w:rPr>
          <w:rFonts w:ascii="Georgia" w:eastAsia="Georgia" w:hAnsi="Georgia" w:cs="Georgia"/>
          <w:i/>
          <w:iCs/>
          <w:sz w:val="18"/>
          <w:szCs w:val="18"/>
        </w:rPr>
      </w:pPr>
      <w:r>
        <w:rPr>
          <w:rFonts w:ascii="Georgia" w:eastAsia="Georgia" w:hAnsi="Georgia" w:cs="Georgia"/>
          <w:i/>
          <w:iCs/>
          <w:sz w:val="18"/>
          <w:szCs w:val="18"/>
        </w:rPr>
        <w:t xml:space="preserve">Figure 2. Effects of temperature and relative humidity on serum distribution during the drying of fresh blood. Fresh blood was incubated under different temperature and humidity conditions and examined under visible and 365 nm ultraviolet illumination. This experiment concerns the drying of fresh blood, not the transfer of already-dried, rehydrated stains addressed in §3.2. High ambient humidity during drying impaired normal coagulation and plasma-blister (halo) formation, approximating a non-clotting appearance without a properly developed halo. Reproduced from Kearse [9], Figure 1, under the Creative Commons Attribution licence.</w:t>
      </w:r>
    </w:p>
    <w:p w14:paraId="03A6EAEA" w14:textId="77777777" w:rsidR="008409E4" w:rsidRDefault="008409E4" w:rsidP="00B60610">
      <w:pPr>
        <w:spacing w:after="90" w:line="283" w:lineRule="auto"/>
        <w:jc w:val="both"/>
        <w:rPr>
          <w:rFonts w:ascii="Georgia" w:eastAsia="Georgia" w:hAnsi="Georgia" w:cs="Georgia"/>
          <w:sz w:val="21"/>
          <w:szCs w:val="21"/>
        </w:rPr>
      </w:pPr>
    </w:p>
    <w:p w14:paraId="358EB746" w14:textId="77777777" w:rsidR="008409E4" w:rsidRDefault="00000000" w:rsidP="00B60610">
      <w:pPr>
        <w:spacing w:after="90" w:line="283" w:lineRule="auto"/>
        <w:jc w:val="both"/>
        <w:rPr>
          <w:rFonts w:ascii="Georgia" w:eastAsia="Georgia" w:hAnsi="Georgia" w:cs="Georgia"/>
          <w:i/>
          <w:iCs/>
          <w:color w:val="6B6B6B"/>
          <w:sz w:val="16"/>
          <w:szCs w:val="16"/>
        </w:rPr>
      </w:pPr>
      <w:r>
        <w:rPr>
          <w:rFonts w:ascii="Georgia" w:eastAsia="Georgia" w:hAnsi="Georgia" w:cs="Georgia"/>
          <w:i/>
          <w:iCs/>
          <w:color w:val="6B6B6B"/>
          <w:sz w:val="16"/>
          <w:szCs w:val="16"/>
        </w:rPr>
        <w:t>Image description: A matrix of fresh blood drops, photographed while drying under visible and ultraviolet light, compares low-, room-, and high-temperature conditions at low and high humidity. Several low-humidity samples display bright peripheral serum rings consistent with normal clot retraction. High-humidity samples show impaired or absent halo formation, consistent with disrupted coagulation during drying.</w:t>
      </w:r>
    </w:p>
    <w:p w14:paraId="3F19CEF9" w14:textId="77777777" w:rsidR="008409E4" w:rsidRDefault="008409E4" w:rsidP="00B60610">
      <w:pPr>
        <w:spacing w:after="90" w:line="283" w:lineRule="auto"/>
        <w:jc w:val="both"/>
        <w:rPr>
          <w:rFonts w:ascii="Georgia" w:eastAsia="Georgia" w:hAnsi="Georgia" w:cs="Georgia"/>
          <w:sz w:val="21"/>
          <w:szCs w:val="21"/>
        </w:rPr>
      </w:pPr>
    </w:p>
    <w:p w14:paraId="5C25F86D" w14:textId="77777777" w:rsidR="008409E4" w:rsidRDefault="00000000" w:rsidP="00B60610">
      <w:pPr>
        <w:spacing w:after="90" w:line="283" w:lineRule="auto"/>
        <w:jc w:val="both"/>
        <w:rPr>
          <w:rFonts w:ascii="Georgia" w:eastAsia="Georgia" w:hAnsi="Georgia" w:cs="Georgia"/>
          <w:b/>
          <w:bCs/>
          <w:color w:val="50634D"/>
        </w:rPr>
      </w:pPr>
      <w:r>
        <w:rPr>
          <w:rFonts w:ascii="Georgia" w:eastAsia="Georgia" w:hAnsi="Georgia" w:cs="Georgia"/>
          <w:b/>
          <w:bCs/>
          <w:color w:val="50634D"/>
        </w:rPr>
        <w:t>3.3 Cave temperature and humidity: what is actually known</w:t>
      </w:r>
    </w:p>
    <w:p w14:paraId="37B862DC" w14:textId="77777777" w:rsidR="008409E4" w:rsidRDefault="008409E4" w:rsidP="00B60610">
      <w:pPr>
        <w:spacing w:after="90" w:line="283" w:lineRule="auto"/>
        <w:jc w:val="both"/>
        <w:rPr>
          <w:rFonts w:ascii="Georgia" w:eastAsia="Georgia" w:hAnsi="Georgia" w:cs="Georgia"/>
          <w:sz w:val="21"/>
          <w:szCs w:val="21"/>
        </w:rPr>
      </w:pPr>
    </w:p>
    <w:p w14:paraId="37B57607"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 xml:space="preserve">A peer-reviewed Data Descriptor published in Scientific Data reports hourly temperature and relative-humidity measurements from twelve Israeli caves across desert, steppe, and Mediterranean climate zones [30]. Earlier Israeli cave research likewise shows that entrance exposure, cave confinement, and ventilation can produce sharply different outer- and inner-zone microclimates [37]. These studies establish variability rather than a single value: the Ullman et al. dataset shows that inner-cave RH across Judean Desert sites ranges from below 50% to above 95% depending on season, cave depth, entrance geometry, and local geology, with the highest values typically occurring in deep, poorly ventilated chambers during winter months. Temperature similarly varies from below 15 °C to above 25 °C across sites and seasons. The commonly cited 10 °C/95% RH scenario falls within this envelope but represents one specific combination of conditions, not a universal or even typical value for first-century Judean burial chambers. No instrument record exists for the specific tomb, and the frequently quoted figures should be treated as an illustrative scenario, not a measured fact. The monitored natural caves are boundary-condition analogues rather than direct architectural or taphonomic equivalents of a shallow, newly sealed, anthropogenic Jerusalem burial </w:t>
        <w:lastRenderedPageBreak/>
        <w:t>chamber containing a corpse and burial linen; extrapolation to a particular tomb therefore remains model-dependent.</w:t>
      </w:r>
    </w:p>
    <w:p w14:paraId="477DB7CB" w14:textId="77777777" w:rsidR="008409E4" w:rsidRDefault="008409E4" w:rsidP="00B60610">
      <w:pPr>
        <w:spacing w:after="90" w:line="283" w:lineRule="auto"/>
        <w:jc w:val="both"/>
        <w:rPr>
          <w:rFonts w:ascii="Georgia" w:eastAsia="Georgia" w:hAnsi="Georgia" w:cs="Georgia"/>
          <w:sz w:val="21"/>
          <w:szCs w:val="21"/>
        </w:rPr>
      </w:pPr>
    </w:p>
    <w:p w14:paraId="3D00CB00" w14:textId="77777777" w:rsidR="008409E4" w:rsidRDefault="00000000" w:rsidP="00B60610">
      <w:pPr>
        <w:pStyle w:val="Ttulo1"/>
        <w:spacing w:after="90" w:line="283" w:lineRule="auto"/>
        <w:jc w:val="both"/>
        <w:rPr>
          <w:rFonts w:ascii="Georgia" w:eastAsia="Georgia" w:hAnsi="Georgia" w:cs="Georgia"/>
          <w:b/>
          <w:bCs/>
          <w:color w:val="6B2124"/>
          <w:sz w:val="28"/>
          <w:szCs w:val="28"/>
        </w:rPr>
      </w:pPr>
      <w:bookmarkStart w:id="9" w:name="_xw4pzug6f0zd" w:colFirst="0" w:colLast="0"/>
      <w:bookmarkEnd w:id="9"/>
      <w:r>
        <w:rPr>
          <w:rFonts w:ascii="Georgia" w:eastAsia="Georgia" w:hAnsi="Georgia" w:cs="Georgia"/>
          <w:b/>
          <w:bCs/>
          <w:color w:val="6B2124"/>
          <w:sz w:val="28"/>
          <w:szCs w:val="28"/>
        </w:rPr>
        <w:t>4. POSTMORTEM BLOOD FLUIDITY AND FIBRINOLYSIS</w:t>
      </w:r>
    </w:p>
    <w:p w14:paraId="62789A30" w14:textId="77777777" w:rsidR="008409E4" w:rsidRDefault="008409E4" w:rsidP="00B60610">
      <w:pPr>
        <w:spacing w:after="90" w:line="283" w:lineRule="auto"/>
        <w:jc w:val="both"/>
        <w:rPr>
          <w:rFonts w:ascii="Georgia" w:eastAsia="Georgia" w:hAnsi="Georgia" w:cs="Georgia"/>
          <w:sz w:val="21"/>
          <w:szCs w:val="21"/>
        </w:rPr>
      </w:pPr>
    </w:p>
    <w:p w14:paraId="47BFFF73" w14:textId="77777777" w:rsidR="008409E4" w:rsidRDefault="00000000" w:rsidP="00B60610">
      <w:pPr>
        <w:spacing w:after="90" w:line="283" w:lineRule="auto"/>
        <w:jc w:val="both"/>
        <w:rPr>
          <w:rFonts w:ascii="Georgia" w:eastAsia="Georgia" w:hAnsi="Georgia" w:cs="Georgia"/>
          <w:b/>
          <w:bCs/>
          <w:color w:val="50634D"/>
        </w:rPr>
      </w:pPr>
      <w:r>
        <w:rPr>
          <w:rFonts w:ascii="Georgia" w:eastAsia="Georgia" w:hAnsi="Georgia" w:cs="Georgia"/>
          <w:b/>
          <w:bCs/>
          <w:color w:val="50634D"/>
        </w:rPr>
        <w:t>4.1 Why blood may remain fluid after death</w:t>
      </w:r>
    </w:p>
    <w:p w14:paraId="2BB7BAB7" w14:textId="77777777" w:rsidR="008409E4" w:rsidRDefault="008409E4" w:rsidP="00B60610">
      <w:pPr>
        <w:spacing w:after="90" w:line="283" w:lineRule="auto"/>
        <w:jc w:val="both"/>
        <w:rPr>
          <w:rFonts w:ascii="Georgia" w:eastAsia="Georgia" w:hAnsi="Georgia" w:cs="Georgia"/>
          <w:sz w:val="21"/>
          <w:szCs w:val="21"/>
        </w:rPr>
      </w:pPr>
    </w:p>
    <w:p w14:paraId="4282D373"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Death does not freeze the coagulation system at a single state. Some blood clots intravascularly or within wounds; some remains fluid; and clots that formed before or soon after death may later be lysed. Postmortem fibrinolysis is driven by activation of plasminogen and release of tissue-type plasminogen activators, with loss of living endothelial regulation and progressive biochemical change. Classical work by Mole described the relationship between fibrinolysis and postmortem blood fluidity [16]. Postmortem biochemical changes, including enzyme release, pH shift, and protein degradation, develop on timescales relevant to the burial interval considered here [29]. Haba and colleagues studied activation of fibrinolytic enzymes in sudden and natural deaths and noted the recognized fluidity and poor coagulability of blood in sudden death, asphyxia, or shock [17].</w:t>
      </w:r>
    </w:p>
    <w:p w14:paraId="2FF6BBDE" w14:textId="77777777" w:rsidR="008409E4" w:rsidRDefault="008409E4" w:rsidP="00B60610">
      <w:pPr>
        <w:spacing w:after="90" w:line="283" w:lineRule="auto"/>
        <w:jc w:val="both"/>
        <w:rPr>
          <w:rFonts w:ascii="Georgia" w:eastAsia="Georgia" w:hAnsi="Georgia" w:cs="Georgia"/>
          <w:sz w:val="21"/>
          <w:szCs w:val="21"/>
        </w:rPr>
      </w:pPr>
    </w:p>
    <w:p w14:paraId="27920C5E" w14:textId="77777777" w:rsidR="008409E4" w:rsidRDefault="00000000" w:rsidP="00B60610">
      <w:pPr>
        <w:spacing w:after="90" w:line="283" w:lineRule="auto"/>
        <w:jc w:val="both"/>
        <w:rPr>
          <w:rFonts w:ascii="Georgia" w:eastAsia="Georgia" w:hAnsi="Georgia" w:cs="Georgia"/>
          <w:b/>
          <w:bCs/>
          <w:color w:val="50634D"/>
        </w:rPr>
      </w:pPr>
      <w:r>
        <w:rPr>
          <w:rFonts w:ascii="Georgia" w:eastAsia="Georgia" w:hAnsi="Georgia" w:cs="Georgia"/>
          <w:b/>
          <w:bCs/>
          <w:color w:val="50634D"/>
        </w:rPr>
        <w:t>4.2 Zugibe's forensic observation</w:t>
      </w:r>
    </w:p>
    <w:p w14:paraId="28F12806" w14:textId="77777777" w:rsidR="008409E4" w:rsidRDefault="008409E4" w:rsidP="00B60610">
      <w:pPr>
        <w:spacing w:after="90" w:line="283" w:lineRule="auto"/>
        <w:jc w:val="both"/>
        <w:rPr>
          <w:rFonts w:ascii="Georgia" w:eastAsia="Georgia" w:hAnsi="Georgia" w:cs="Georgia"/>
          <w:sz w:val="21"/>
          <w:szCs w:val="21"/>
        </w:rPr>
      </w:pPr>
    </w:p>
    <w:p w14:paraId="469938A9"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 xml:space="preserve">Zugibe reported that postmortem blood may ooze from washed or disturbed wounds and usually dries without forming a robust new clot [18]. This is compatible with postmortem fibrinolysis and reduced platelet function. It supports the plausibility of passive blood flow after nails were removed or a wound was mechanically reopened. Yet the observation cannot be inverted into a unique diagnosis: fluid postmortem blood does not prove asphyxia, and lack of coagulation does not specify the mechanism of death. Methods for distinguishing fibrinolysed blood from other forms of fluid blood—hemolysed, anticoagulated, or diluted—have not been established for centuries-old textile samples. This distinction therefore remains a mechanistic inference supported by known postmortem biology, not a directly demonstrated property of the Shroud marks.</w:t>
      </w:r>
    </w:p>
    <w:p w14:paraId="7F1F73FF" w14:textId="77777777" w:rsidR="008409E4" w:rsidRDefault="008409E4" w:rsidP="00B60610">
      <w:pPr>
        <w:spacing w:after="90" w:line="283" w:lineRule="auto"/>
        <w:jc w:val="both"/>
        <w:rPr>
          <w:rFonts w:ascii="Georgia" w:eastAsia="Georgia" w:hAnsi="Georgia" w:cs="Georgia"/>
          <w:sz w:val="21"/>
          <w:szCs w:val="21"/>
        </w:rPr>
      </w:pPr>
    </w:p>
    <w:p w14:paraId="74B1FE36" w14:textId="77777777" w:rsidR="008409E4" w:rsidRDefault="00000000" w:rsidP="00B60610">
      <w:pPr>
        <w:spacing w:after="90" w:line="283" w:lineRule="auto"/>
        <w:jc w:val="both"/>
        <w:rPr>
          <w:rFonts w:ascii="Georgia" w:eastAsia="Georgia" w:hAnsi="Georgia" w:cs="Georgia"/>
          <w:b/>
          <w:bCs/>
          <w:color w:val="50634D"/>
        </w:rPr>
      </w:pPr>
      <w:r>
        <w:rPr>
          <w:rFonts w:ascii="Georgia" w:eastAsia="Georgia" w:hAnsi="Georgia" w:cs="Georgia"/>
          <w:b/>
          <w:bCs/>
          <w:color w:val="50634D"/>
        </w:rPr>
        <w:t xml:space="preserve">4.3 The asphyxia claim needs correction</w:t>
      </w:r>
    </w:p>
    <w:p w14:paraId="6B725221" w14:textId="77777777" w:rsidR="008409E4" w:rsidRDefault="008409E4" w:rsidP="00B60610">
      <w:pPr>
        <w:spacing w:after="90" w:line="283" w:lineRule="auto"/>
        <w:jc w:val="both"/>
        <w:rPr>
          <w:rFonts w:ascii="Georgia" w:eastAsia="Georgia" w:hAnsi="Georgia" w:cs="Georgia"/>
          <w:sz w:val="21"/>
          <w:szCs w:val="21"/>
        </w:rPr>
      </w:pPr>
    </w:p>
    <w:p w14:paraId="1BC5A737"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 xml:space="preserve">The scientifically accurate formulation is: “Postmortem blood can remain fluid or become fluid through fibrinolysis, and such fluidity has been described in sudden death, shock, and asphyxial circumstances.” It is not accurate to say that blood on the Shroud demonstrates death by asphyxiation. Indeed, Zugibe himself argued against simple progressive asphyxia as the sole mechanism of crucifixion death and favored traumatic and hypovolemic shock with terminal cardiorespiratory arrest. The Shroud blood patterns cannot adjudicate this dispute by themselves.</w:t>
      </w:r>
    </w:p>
    <w:p w14:paraId="675FB336" w14:textId="77777777" w:rsidR="00C20465" w:rsidRDefault="00C20465" w:rsidP="00B60610">
      <w:pPr>
        <w:spacing w:after="90" w:line="283" w:lineRule="auto"/>
        <w:jc w:val="both"/>
        <w:rPr>
          <w:rFonts w:ascii="Georgia" w:eastAsia="Georgia" w:hAnsi="Georgia" w:cs="Georgia"/>
          <w:sz w:val="21"/>
          <w:szCs w:val="21"/>
        </w:rPr>
      </w:pPr>
    </w:p>
    <w:p w14:paraId="6E93521A" w14:textId="77777777" w:rsidR="00C20465" w:rsidRDefault="00C20465" w:rsidP="00B60610">
      <w:pPr>
        <w:spacing w:after="90" w:line="283" w:lineRule="auto"/>
        <w:jc w:val="both"/>
        <w:rPr>
          <w:rFonts w:ascii="Georgia" w:eastAsia="Georgia" w:hAnsi="Georgia" w:cs="Georgia"/>
          <w:sz w:val="21"/>
          <w:szCs w:val="21"/>
        </w:rPr>
      </w:pPr>
    </w:p>
    <w:p w14:paraId="31BC303F" w14:textId="77777777" w:rsidR="00C20465" w:rsidRDefault="00C20465" w:rsidP="00B60610">
      <w:pPr>
        <w:spacing w:after="90" w:line="283" w:lineRule="auto"/>
        <w:jc w:val="both"/>
        <w:rPr>
          <w:rFonts w:ascii="Georgia" w:eastAsia="Georgia" w:hAnsi="Georgia" w:cs="Georgia"/>
          <w:sz w:val="21"/>
          <w:szCs w:val="21"/>
        </w:rPr>
      </w:pPr>
    </w:p>
    <w:p w14:paraId="08AC99C3" w14:textId="77777777" w:rsidR="008409E4" w:rsidRDefault="008409E4" w:rsidP="00B60610">
      <w:pPr>
        <w:spacing w:after="90" w:line="283" w:lineRule="auto"/>
        <w:jc w:val="both"/>
        <w:rPr>
          <w:rFonts w:ascii="Georgia" w:eastAsia="Georgia" w:hAnsi="Georgia" w:cs="Georgia"/>
          <w:sz w:val="21"/>
          <w:szCs w:val="21"/>
        </w:rPr>
      </w:pPr>
    </w:p>
    <w:p w14:paraId="60938AD4" w14:textId="77777777" w:rsidR="008409E4" w:rsidRDefault="00000000" w:rsidP="00B60610">
      <w:pPr>
        <w:spacing w:after="90" w:line="283" w:lineRule="auto"/>
        <w:jc w:val="both"/>
        <w:rPr>
          <w:rFonts w:ascii="Georgia" w:eastAsia="Georgia" w:hAnsi="Georgia" w:cs="Georgia"/>
          <w:b/>
          <w:bCs/>
          <w:color w:val="50634D"/>
        </w:rPr>
      </w:pPr>
      <w:r>
        <w:rPr>
          <w:rFonts w:ascii="Georgia" w:eastAsia="Georgia" w:hAnsi="Georgia" w:cs="Georgia"/>
          <w:b/>
          <w:bCs/>
          <w:color w:val="50634D"/>
        </w:rPr>
        <w:lastRenderedPageBreak/>
        <w:t>4.4 No active circulation after death</w:t>
      </w:r>
    </w:p>
    <w:p w14:paraId="1741E1AD" w14:textId="77777777" w:rsidR="008409E4" w:rsidRDefault="008409E4" w:rsidP="00B60610">
      <w:pPr>
        <w:spacing w:after="90" w:line="283" w:lineRule="auto"/>
        <w:jc w:val="both"/>
        <w:rPr>
          <w:rFonts w:ascii="Georgia" w:eastAsia="Georgia" w:hAnsi="Georgia" w:cs="Georgia"/>
          <w:sz w:val="21"/>
          <w:szCs w:val="21"/>
        </w:rPr>
      </w:pPr>
    </w:p>
    <w:p w14:paraId="557B6A96"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A “fresh flow from a dead body” must be understood as passive drainage. After cardiac arrest there is no sustained arterial pressure. Flow can nevertheless occur because of gravity, movement, compression of tissue, residual pressure in venous compartments, release of pooled blood, opening of a wound tract, collapse of vascular walls, and leakage of blood mixed with interstitial or serous fluid. A postmortem rivulet can look fresh without implying continued circulation.</w:t>
      </w:r>
    </w:p>
    <w:p w14:paraId="7AB4D3EE" w14:textId="77777777" w:rsidR="008409E4" w:rsidRDefault="008409E4" w:rsidP="00B60610">
      <w:pPr>
        <w:spacing w:after="90" w:line="283" w:lineRule="auto"/>
        <w:jc w:val="both"/>
        <w:rPr>
          <w:rFonts w:ascii="Georgia" w:eastAsia="Georgia" w:hAnsi="Georgia" w:cs="Georgia"/>
          <w:sz w:val="21"/>
          <w:szCs w:val="21"/>
        </w:rPr>
      </w:pPr>
    </w:p>
    <w:p w14:paraId="063350B1" w14:textId="77777777" w:rsidR="008409E4" w:rsidRDefault="00000000" w:rsidP="00B60610">
      <w:pPr>
        <w:pStyle w:val="Ttulo1"/>
        <w:spacing w:after="90" w:line="283" w:lineRule="auto"/>
        <w:jc w:val="both"/>
        <w:rPr>
          <w:rFonts w:ascii="Georgia" w:eastAsia="Georgia" w:hAnsi="Georgia" w:cs="Georgia"/>
          <w:b/>
          <w:bCs/>
          <w:color w:val="6B2124"/>
          <w:sz w:val="28"/>
          <w:szCs w:val="28"/>
        </w:rPr>
      </w:pPr>
      <w:bookmarkStart w:id="10" w:name="_rs21b3oiz2tc" w:colFirst="0" w:colLast="0"/>
      <w:bookmarkEnd w:id="10"/>
      <w:r>
        <w:rPr>
          <w:rFonts w:ascii="Georgia" w:eastAsia="Georgia" w:hAnsi="Georgia" w:cs="Georgia"/>
          <w:b/>
          <w:bCs/>
          <w:color w:val="6B2124"/>
          <w:sz w:val="28"/>
          <w:szCs w:val="28"/>
        </w:rPr>
        <w:t>5. A TESTABLE MECHANISTIC HYPOTHESIS FOR THE WRIST WOUND</w:t>
      </w:r>
    </w:p>
    <w:p w14:paraId="79AB5A42" w14:textId="77777777" w:rsidR="008409E4" w:rsidRDefault="008409E4" w:rsidP="00B60610">
      <w:pPr>
        <w:spacing w:after="90" w:line="283" w:lineRule="auto"/>
        <w:jc w:val="both"/>
        <w:rPr>
          <w:rFonts w:ascii="Georgia" w:eastAsia="Georgia" w:hAnsi="Georgia" w:cs="Georgia"/>
          <w:sz w:val="21"/>
          <w:szCs w:val="21"/>
        </w:rPr>
      </w:pPr>
    </w:p>
    <w:p w14:paraId="3DB28C83" w14:textId="77777777" w:rsidR="008409E4" w:rsidRDefault="00000000" w:rsidP="00B60610">
      <w:pPr>
        <w:spacing w:after="90" w:line="283" w:lineRule="auto"/>
        <w:jc w:val="both"/>
        <w:rPr>
          <w:rFonts w:ascii="Georgia" w:eastAsia="Georgia" w:hAnsi="Georgia" w:cs="Georgia"/>
          <w:b/>
          <w:bCs/>
          <w:color w:val="50634D"/>
        </w:rPr>
      </w:pPr>
      <w:r>
        <w:rPr>
          <w:rFonts w:ascii="Georgia" w:eastAsia="Georgia" w:hAnsi="Georgia" w:cs="Georgia"/>
          <w:b/>
          <w:bCs/>
          <w:color w:val="50634D"/>
        </w:rPr>
        <w:t>5.1 Phase A: premortem wound and flow</w:t>
      </w:r>
    </w:p>
    <w:p w14:paraId="05C56538" w14:textId="77777777" w:rsidR="008409E4" w:rsidRDefault="008409E4" w:rsidP="00B60610">
      <w:pPr>
        <w:spacing w:after="90" w:line="283" w:lineRule="auto"/>
        <w:jc w:val="both"/>
        <w:rPr>
          <w:rFonts w:ascii="Georgia" w:eastAsia="Georgia" w:hAnsi="Georgia" w:cs="Georgia"/>
          <w:sz w:val="21"/>
          <w:szCs w:val="21"/>
        </w:rPr>
      </w:pPr>
    </w:p>
    <w:p w14:paraId="00C8D0D7"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While the individual is alive, a nail wound produces bleeding under physiologic pressure. With the arm elevated, blood runs along gravity-dependent paths. Flow direction can change as the victim shifts posture. Platelets and fibrin begin to seal the wound and surface blood progressively gels. Repeated movement can reopen the tract, producing superposed rivulets. A portion of the surface deposit becomes a structured clot capable of serum retraction.</w:t>
      </w:r>
    </w:p>
    <w:p w14:paraId="33008420" w14:textId="77777777" w:rsidR="008409E4" w:rsidRDefault="008409E4" w:rsidP="00B60610">
      <w:pPr>
        <w:spacing w:after="90" w:line="283" w:lineRule="auto"/>
        <w:jc w:val="both"/>
        <w:rPr>
          <w:rFonts w:ascii="Georgia" w:eastAsia="Georgia" w:hAnsi="Georgia" w:cs="Georgia"/>
          <w:sz w:val="21"/>
          <w:szCs w:val="21"/>
        </w:rPr>
      </w:pPr>
    </w:p>
    <w:p w14:paraId="35D9860F" w14:textId="77777777" w:rsidR="008409E4" w:rsidRDefault="00000000" w:rsidP="00B60610">
      <w:pPr>
        <w:spacing w:after="90" w:line="283" w:lineRule="auto"/>
        <w:jc w:val="both"/>
        <w:rPr>
          <w:rFonts w:ascii="Georgia" w:eastAsia="Georgia" w:hAnsi="Georgia" w:cs="Georgia"/>
          <w:b/>
          <w:bCs/>
          <w:color w:val="50634D"/>
        </w:rPr>
      </w:pPr>
      <w:r>
        <w:rPr>
          <w:rFonts w:ascii="Georgia" w:eastAsia="Georgia" w:hAnsi="Georgia" w:cs="Georgia"/>
          <w:b/>
          <w:bCs/>
          <w:color w:val="50634D"/>
        </w:rPr>
        <w:t>5.2 Phase B: death and partial drying</w:t>
      </w:r>
    </w:p>
    <w:p w14:paraId="74F8C8E5" w14:textId="77777777" w:rsidR="008409E4" w:rsidRDefault="008409E4" w:rsidP="00B60610">
      <w:pPr>
        <w:spacing w:after="90" w:line="283" w:lineRule="auto"/>
        <w:jc w:val="both"/>
        <w:rPr>
          <w:rFonts w:ascii="Georgia" w:eastAsia="Georgia" w:hAnsi="Georgia" w:cs="Georgia"/>
          <w:sz w:val="21"/>
          <w:szCs w:val="21"/>
        </w:rPr>
      </w:pPr>
    </w:p>
    <w:p w14:paraId="074000D1"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 xml:space="preserve">After death, active pressure ceases, but blood already present on the skin continues to clot and dry. Serum is expressed from retracting portions of the clot. Other intravascular blood becomes progressively hypostatic and may remain fluid or undergo fibrinolysis. The surface therefore contains materials of different ages and rheologies: dry crust, moist clot, serum-rich liquid, and possible later exudate.</w:t>
      </w:r>
    </w:p>
    <w:p w14:paraId="3D6BFCB6" w14:textId="77777777" w:rsidR="008409E4" w:rsidRDefault="008409E4" w:rsidP="00B60610">
      <w:pPr>
        <w:spacing w:after="90" w:line="283" w:lineRule="auto"/>
        <w:jc w:val="both"/>
        <w:rPr>
          <w:rFonts w:ascii="Georgia" w:eastAsia="Georgia" w:hAnsi="Georgia" w:cs="Georgia"/>
          <w:sz w:val="21"/>
          <w:szCs w:val="21"/>
        </w:rPr>
      </w:pPr>
    </w:p>
    <w:p w14:paraId="72CAA117" w14:textId="77777777" w:rsidR="008409E4" w:rsidRDefault="00000000" w:rsidP="00B60610">
      <w:pPr>
        <w:spacing w:after="90" w:line="283" w:lineRule="auto"/>
        <w:jc w:val="both"/>
        <w:rPr>
          <w:rFonts w:ascii="Georgia" w:eastAsia="Georgia" w:hAnsi="Georgia" w:cs="Georgia"/>
          <w:b/>
          <w:bCs/>
          <w:color w:val="50634D"/>
        </w:rPr>
      </w:pPr>
      <w:r>
        <w:rPr>
          <w:rFonts w:ascii="Georgia" w:eastAsia="Georgia" w:hAnsi="Georgia" w:cs="Georgia"/>
          <w:b/>
          <w:bCs/>
          <w:color w:val="50634D"/>
        </w:rPr>
        <w:t>5.3 Phase C: unnailing and mechanical disruption</w:t>
      </w:r>
    </w:p>
    <w:p w14:paraId="6292DA6D" w14:textId="77777777" w:rsidR="008409E4" w:rsidRDefault="008409E4" w:rsidP="00B60610">
      <w:pPr>
        <w:spacing w:after="90" w:line="283" w:lineRule="auto"/>
        <w:jc w:val="both"/>
        <w:rPr>
          <w:rFonts w:ascii="Georgia" w:eastAsia="Georgia" w:hAnsi="Georgia" w:cs="Georgia"/>
          <w:sz w:val="21"/>
          <w:szCs w:val="21"/>
        </w:rPr>
      </w:pPr>
    </w:p>
    <w:p w14:paraId="36D2772B"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Removal of a nail can tear the tract, shear off part of the clot, and release fluid trapped beneath or within it. Moving the arm changes gravitational direction. Compression during handling can express blood from small vessels and tissue spaces. The resulting postmortem drainage would be darker or lighter depending on hemolysis, dilution, serum content, and mixing with interstitial fluid. It could cross or extend an older clot pattern, creating the visual impression of a new flow superposed upon a preexisting stain. No published experiment has yet reproduced this complete sequence in one anatomically realistic wound model; the reconstruction is therefore an integrated mechanistic hypothesis assembled from individually plausible processes.</w:t>
      </w:r>
    </w:p>
    <w:p w14:paraId="196F67E9" w14:textId="77777777" w:rsidR="00C20465" w:rsidRDefault="00C20465" w:rsidP="00B60610">
      <w:pPr>
        <w:spacing w:after="90" w:line="283" w:lineRule="auto"/>
        <w:jc w:val="both"/>
        <w:rPr>
          <w:rFonts w:ascii="Georgia" w:eastAsia="Georgia" w:hAnsi="Georgia" w:cs="Georgia"/>
          <w:sz w:val="21"/>
          <w:szCs w:val="21"/>
        </w:rPr>
      </w:pPr>
    </w:p>
    <w:p w14:paraId="21D847F2" w14:textId="77777777" w:rsidR="00C20465" w:rsidRDefault="00C20465" w:rsidP="00B60610">
      <w:pPr>
        <w:spacing w:after="90" w:line="283" w:lineRule="auto"/>
        <w:jc w:val="both"/>
        <w:rPr>
          <w:rFonts w:ascii="Georgia" w:eastAsia="Georgia" w:hAnsi="Georgia" w:cs="Georgia"/>
          <w:sz w:val="21"/>
          <w:szCs w:val="21"/>
        </w:rPr>
      </w:pPr>
    </w:p>
    <w:p w14:paraId="7D6A92B7" w14:textId="77777777" w:rsidR="00C20465" w:rsidRDefault="00C20465" w:rsidP="00B60610">
      <w:pPr>
        <w:spacing w:after="90" w:line="283" w:lineRule="auto"/>
        <w:jc w:val="both"/>
        <w:rPr>
          <w:rFonts w:ascii="Georgia" w:eastAsia="Georgia" w:hAnsi="Georgia" w:cs="Georgia"/>
          <w:sz w:val="21"/>
          <w:szCs w:val="21"/>
        </w:rPr>
      </w:pPr>
    </w:p>
    <w:p w14:paraId="433271DB" w14:textId="77777777" w:rsidR="008409E4" w:rsidRDefault="008409E4" w:rsidP="00B60610">
      <w:pPr>
        <w:spacing w:after="90" w:line="283" w:lineRule="auto"/>
        <w:jc w:val="both"/>
        <w:rPr>
          <w:rFonts w:ascii="Georgia" w:eastAsia="Georgia" w:hAnsi="Georgia" w:cs="Georgia"/>
          <w:sz w:val="21"/>
          <w:szCs w:val="21"/>
        </w:rPr>
      </w:pPr>
    </w:p>
    <w:p w14:paraId="0146B21C" w14:textId="77777777" w:rsidR="008409E4" w:rsidRDefault="00000000" w:rsidP="00B60610">
      <w:pPr>
        <w:spacing w:after="90" w:line="283" w:lineRule="auto"/>
        <w:jc w:val="both"/>
        <w:rPr>
          <w:rFonts w:ascii="Georgia" w:eastAsia="Georgia" w:hAnsi="Georgia" w:cs="Georgia"/>
          <w:b/>
          <w:bCs/>
          <w:color w:val="50634D"/>
        </w:rPr>
      </w:pPr>
      <w:r>
        <w:rPr>
          <w:rFonts w:ascii="Georgia" w:eastAsia="Georgia" w:hAnsi="Georgia" w:cs="Georgia"/>
          <w:b/>
          <w:bCs/>
          <w:color w:val="50634D"/>
        </w:rPr>
        <w:lastRenderedPageBreak/>
        <w:t>5.4 Phase D: transport and burial handling</w:t>
      </w:r>
    </w:p>
    <w:p w14:paraId="102B7D98" w14:textId="77777777" w:rsidR="008409E4" w:rsidRDefault="008409E4" w:rsidP="00B60610">
      <w:pPr>
        <w:spacing w:after="90" w:line="283" w:lineRule="auto"/>
        <w:jc w:val="both"/>
        <w:rPr>
          <w:rFonts w:ascii="Georgia" w:eastAsia="Georgia" w:hAnsi="Georgia" w:cs="Georgia"/>
          <w:sz w:val="21"/>
          <w:szCs w:val="21"/>
        </w:rPr>
      </w:pPr>
    </w:p>
    <w:p w14:paraId="6F7DE425"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Transport from execution site to tomb involves rotation from vertical suspension to carrying and then to a recumbent position. Each rotation can redirect fluid. Heger and colleagues applied blood to the dorsal and palmar wrist regions of living volunteers and investigated arm movements, skin wetness, dirt, hair, dilution, and oil [23]. They found that certain movement patterns can form wrist and branched forearm stains, and concluded that a hypothetical post-unnailing handling sequence may be compatible with some observed patterns. These experiments support the feasibility of movement-dependent pattern formation, but they did not model a true nail tract, cadaveric tissue, postmortem vascular drainage, linen transfer, or actual wound-reopening during nail removal. Multiple body positions also generate superficially similar paths, so flow-angle analysis alone rarely yields a unique posture.</w:t>
      </w:r>
    </w:p>
    <w:p w14:paraId="4BA64010" w14:textId="77777777" w:rsidR="008409E4" w:rsidRDefault="008409E4" w:rsidP="00B60610">
      <w:pPr>
        <w:spacing w:after="90" w:line="283" w:lineRule="auto"/>
        <w:jc w:val="both"/>
        <w:rPr>
          <w:rFonts w:ascii="Georgia" w:eastAsia="Georgia" w:hAnsi="Georgia" w:cs="Georgia"/>
          <w:sz w:val="21"/>
          <w:szCs w:val="21"/>
        </w:rPr>
      </w:pPr>
    </w:p>
    <w:p w14:paraId="143F8D73" w14:textId="69DFFE3C" w:rsidR="008409E4" w:rsidRPr="00C20465" w:rsidRDefault="00000000" w:rsidP="00B60610">
      <w:pPr>
        <w:spacing w:after="90" w:line="283" w:lineRule="auto"/>
        <w:jc w:val="both"/>
        <w:rPr>
          <w:rFonts w:ascii="Georgia" w:eastAsia="Georgia" w:hAnsi="Georgia" w:cs="Georgia"/>
          <w:sz w:val="21"/>
          <w:szCs w:val="21"/>
        </w:rPr>
      </w:pPr>
      <w:r>
        <w:rPr>
          <w:rFonts w:ascii="Georgia" w:eastAsia="Georgia" w:hAnsi="Georgia" w:cs="Georgia"/>
          <w:noProof/>
          <w:sz w:val="21"/>
          <w:szCs w:val="21"/>
        </w:rPr>
        <w:drawing>
          <wp:anchor distT="0" distB="0" distL="114300" distR="114300" simplePos="0" relativeHeight="251658240" behindDoc="1" locked="0" layoutInCell="1" allowOverlap="1" wp14:anchorId="0C5260A0" wp14:editId="50CA9BB6">
            <wp:simplePos x="0" y="0"/>
            <wp:positionH relativeFrom="column">
              <wp:posOffset>-3175</wp:posOffset>
            </wp:positionH>
            <wp:positionV relativeFrom="paragraph">
              <wp:posOffset>4445</wp:posOffset>
            </wp:positionV>
            <wp:extent cx="3810000" cy="3810000"/>
            <wp:effectExtent l="0" t="0" r="0" b="0"/>
            <wp:wrapTight wrapText="bothSides">
              <wp:wrapPolygon edited="0">
                <wp:start x="0" y="0"/>
                <wp:lineTo x="0" y="21492"/>
                <wp:lineTo x="21492" y="21492"/>
                <wp:lineTo x="21492" y="0"/>
                <wp:lineTo x="0" y="0"/>
              </wp:wrapPolygon>
            </wp:wrapTight>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extLst>
                        <a:ext uri="{28A0092B-C50C-407E-A947-70E740481C1C}">
                          <a14:useLocalDpi xmlns:a14="http://schemas.microsoft.com/office/drawing/2010/main" val="0"/>
                        </a:ext>
                      </a:extLst>
                    </a:blip>
                    <a:srcRect/>
                    <a:stretch>
                      <a:fillRect/>
                    </a:stretch>
                  </pic:blipFill>
                  <pic:spPr>
                    <a:xfrm>
                      <a:off x="0" y="0"/>
                      <a:ext cx="3810000" cy="3810000"/>
                    </a:xfrm>
                    <a:prstGeom prst="rect">
                      <a:avLst/>
                    </a:prstGeom>
                    <a:ln/>
                  </pic:spPr>
                </pic:pic>
              </a:graphicData>
            </a:graphic>
          </wp:anchor>
        </w:drawing>
      </w:r>
      <w:r>
        <w:rPr>
          <w:rFonts w:ascii="Georgia" w:eastAsia="Georgia" w:hAnsi="Georgia" w:cs="Georgia"/>
          <w:i/>
          <w:iCs/>
          <w:sz w:val="18"/>
          <w:szCs w:val="18"/>
        </w:rPr>
        <w:t xml:space="preserve">Figure 3. Experimental wrist-flow patterns produced by controlled arm repositioning. Panel a shows the comparison region on the Shroud photograph used by the source authors; panels b and c show whole blood applied to the dorsal wrists of male and female volunteers. Slow elevation and rotation of the hands redirected the blood into diverging pools and rivulets. The experiment demonstrates that movement can generate complex wrist patterns, but it did not model a nail tract, cadaveric tissue, postmortem wound discharge, or linen contact. Reproduced from Heger et al. [23], Figure 4, under CC BY 4.0. Panel a is separately credited in the source article to Vernon Miller (1978); journal permission requirements for that panel should be confirmed before external publication.</w:t>
      </w:r>
    </w:p>
    <w:p w14:paraId="170C713B" w14:textId="77777777" w:rsidR="00C20465" w:rsidRDefault="00C20465" w:rsidP="00B60610">
      <w:pPr>
        <w:spacing w:after="90" w:line="283" w:lineRule="auto"/>
        <w:jc w:val="both"/>
        <w:rPr>
          <w:rFonts w:ascii="Georgia" w:eastAsia="Georgia" w:hAnsi="Georgia" w:cs="Georgia"/>
          <w:i/>
          <w:iCs/>
          <w:sz w:val="18"/>
          <w:szCs w:val="18"/>
        </w:rPr>
      </w:pPr>
    </w:p>
    <w:p w14:paraId="3AA26379" w14:textId="77777777" w:rsidR="00C20465" w:rsidRDefault="00C20465" w:rsidP="00B60610">
      <w:pPr>
        <w:spacing w:after="90" w:line="283" w:lineRule="auto"/>
        <w:jc w:val="both"/>
        <w:rPr>
          <w:rFonts w:ascii="Georgia" w:eastAsia="Georgia" w:hAnsi="Georgia" w:cs="Georgia"/>
          <w:i/>
          <w:iCs/>
          <w:sz w:val="18"/>
          <w:szCs w:val="18"/>
        </w:rPr>
      </w:pPr>
    </w:p>
    <w:p w14:paraId="58C3C817" w14:textId="77777777" w:rsidR="00C20465" w:rsidRDefault="00C20465" w:rsidP="00B60610">
      <w:pPr>
        <w:spacing w:after="90" w:line="283" w:lineRule="auto"/>
        <w:jc w:val="both"/>
        <w:rPr>
          <w:rFonts w:ascii="Georgia" w:eastAsia="Georgia" w:hAnsi="Georgia" w:cs="Georgia"/>
          <w:i/>
          <w:iCs/>
          <w:sz w:val="18"/>
          <w:szCs w:val="18"/>
        </w:rPr>
      </w:pPr>
    </w:p>
    <w:p w14:paraId="359017C7" w14:textId="77777777" w:rsidR="00C20465" w:rsidRDefault="00C20465" w:rsidP="00B60610">
      <w:pPr>
        <w:spacing w:after="90" w:line="283" w:lineRule="auto"/>
        <w:jc w:val="both"/>
        <w:rPr>
          <w:rFonts w:ascii="Georgia" w:eastAsia="Georgia" w:hAnsi="Georgia" w:cs="Georgia"/>
          <w:i/>
          <w:iCs/>
          <w:sz w:val="18"/>
          <w:szCs w:val="18"/>
        </w:rPr>
      </w:pPr>
    </w:p>
    <w:p w14:paraId="6522294D" w14:textId="77777777" w:rsidR="008409E4" w:rsidRDefault="008409E4" w:rsidP="00B60610">
      <w:pPr>
        <w:spacing w:after="90" w:line="283" w:lineRule="auto"/>
        <w:jc w:val="both"/>
        <w:rPr>
          <w:rFonts w:ascii="Georgia" w:eastAsia="Georgia" w:hAnsi="Georgia" w:cs="Georgia"/>
          <w:sz w:val="21"/>
          <w:szCs w:val="21"/>
        </w:rPr>
      </w:pPr>
    </w:p>
    <w:p w14:paraId="6A975579" w14:textId="77777777" w:rsidR="008409E4" w:rsidRDefault="00000000" w:rsidP="00B60610">
      <w:pPr>
        <w:spacing w:after="90" w:line="283" w:lineRule="auto"/>
        <w:jc w:val="both"/>
        <w:rPr>
          <w:rFonts w:ascii="Georgia" w:eastAsia="Georgia" w:hAnsi="Georgia" w:cs="Georgia"/>
          <w:i/>
          <w:iCs/>
          <w:color w:val="6B6B6B"/>
          <w:sz w:val="16"/>
          <w:szCs w:val="16"/>
        </w:rPr>
      </w:pPr>
      <w:r>
        <w:rPr>
          <w:rFonts w:ascii="Georgia" w:eastAsia="Georgia" w:hAnsi="Georgia" w:cs="Georgia"/>
          <w:i/>
          <w:iCs/>
          <w:color w:val="6B6B6B"/>
          <w:sz w:val="16"/>
          <w:szCs w:val="16"/>
        </w:rPr>
        <w:t>Image description: A three-panel comparison shows a monochrome crop of the Shroud wrist region beside two photographs of blood applied to the dorsal wrists of living volunteers. Slow arm movement has redirected the experimental blood into curved, diverging rivulets.</w:t>
      </w:r>
    </w:p>
    <w:p w14:paraId="4AB6EF61" w14:textId="77777777" w:rsidR="008409E4" w:rsidRDefault="008409E4" w:rsidP="00B60610">
      <w:pPr>
        <w:spacing w:after="90" w:line="283" w:lineRule="auto"/>
        <w:jc w:val="both"/>
        <w:rPr>
          <w:rFonts w:ascii="Georgia" w:eastAsia="Georgia" w:hAnsi="Georgia" w:cs="Georgia"/>
          <w:sz w:val="21"/>
          <w:szCs w:val="21"/>
        </w:rPr>
      </w:pPr>
    </w:p>
    <w:p w14:paraId="670A2FB5" w14:textId="77777777" w:rsidR="008409E4" w:rsidRDefault="00000000" w:rsidP="00B60610">
      <w:pPr>
        <w:spacing w:after="90" w:line="283" w:lineRule="auto"/>
        <w:jc w:val="both"/>
        <w:rPr>
          <w:rFonts w:ascii="Georgia" w:eastAsia="Georgia" w:hAnsi="Georgia" w:cs="Georgia"/>
          <w:b/>
          <w:bCs/>
          <w:color w:val="50634D"/>
        </w:rPr>
      </w:pPr>
      <w:r>
        <w:rPr>
          <w:rFonts w:ascii="Georgia" w:eastAsia="Georgia" w:hAnsi="Georgia" w:cs="Georgia"/>
          <w:b/>
          <w:bCs/>
          <w:color w:val="50634D"/>
        </w:rPr>
        <w:t>5.5 Phase E: linen contact and transfer</w:t>
      </w:r>
    </w:p>
    <w:p w14:paraId="0CD519EF" w14:textId="77777777" w:rsidR="008409E4" w:rsidRDefault="008409E4" w:rsidP="00B60610">
      <w:pPr>
        <w:spacing w:after="90" w:line="283" w:lineRule="auto"/>
        <w:jc w:val="both"/>
        <w:rPr>
          <w:rFonts w:ascii="Georgia" w:eastAsia="Georgia" w:hAnsi="Georgia" w:cs="Georgia"/>
          <w:sz w:val="21"/>
          <w:szCs w:val="21"/>
        </w:rPr>
      </w:pPr>
    </w:p>
    <w:p w14:paraId="66509DDE"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Linen may contact the wrist while some material is still moist, while a clot retains a wet lower surface, or after high humidity has rehydrated a dried deposit. The cellular component transfers most strongly at points of direct pressure. Serum wicks farther along yarns and may form an incomplete fluorescent edge. If a later liquid flow is deposited directly into the cloth, it may lack a separate halo. A mixed wrist mark is therefore predicted by a mixed sequence.</w:t>
      </w:r>
    </w:p>
    <w:p w14:paraId="0BC846B6" w14:textId="77777777" w:rsidR="00C20465" w:rsidRDefault="00C20465" w:rsidP="00B60610">
      <w:pPr>
        <w:spacing w:after="90" w:line="283" w:lineRule="auto"/>
        <w:jc w:val="both"/>
        <w:rPr>
          <w:rFonts w:ascii="Georgia" w:eastAsia="Georgia" w:hAnsi="Georgia" w:cs="Georgia"/>
          <w:sz w:val="21"/>
          <w:szCs w:val="21"/>
        </w:rPr>
      </w:pPr>
    </w:p>
    <w:p w14:paraId="3DC548C2" w14:textId="77777777" w:rsidR="008409E4" w:rsidRDefault="008409E4" w:rsidP="00B60610">
      <w:pPr>
        <w:spacing w:after="90" w:line="283" w:lineRule="auto"/>
        <w:jc w:val="both"/>
        <w:rPr>
          <w:rFonts w:ascii="Georgia" w:eastAsia="Georgia" w:hAnsi="Georgia" w:cs="Georgia"/>
          <w:sz w:val="21"/>
          <w:szCs w:val="21"/>
        </w:rPr>
      </w:pPr>
    </w:p>
    <w:p w14:paraId="5484FEA9" w14:textId="77777777" w:rsidR="008409E4" w:rsidRDefault="00000000" w:rsidP="00B60610">
      <w:pPr>
        <w:spacing w:after="90" w:line="283" w:lineRule="auto"/>
        <w:jc w:val="both"/>
        <w:rPr>
          <w:rFonts w:ascii="Georgia" w:eastAsia="Georgia" w:hAnsi="Georgia" w:cs="Georgia"/>
          <w:b/>
          <w:bCs/>
          <w:color w:val="50634D"/>
        </w:rPr>
      </w:pPr>
      <w:r>
        <w:rPr>
          <w:rFonts w:ascii="Georgia" w:eastAsia="Georgia" w:hAnsi="Georgia" w:cs="Georgia"/>
          <w:b/>
          <w:bCs/>
          <w:color w:val="50634D"/>
        </w:rPr>
        <w:lastRenderedPageBreak/>
        <w:t>5.6 Integrated sequence and predicted signatures</w:t>
      </w:r>
    </w:p>
    <w:p w14:paraId="0D2A7E7A" w14:textId="77777777" w:rsidR="008409E4" w:rsidRDefault="008409E4" w:rsidP="00B60610">
      <w:pPr>
        <w:spacing w:after="90" w:line="283" w:lineRule="auto"/>
        <w:jc w:val="both"/>
        <w:rPr>
          <w:rFonts w:ascii="Georgia" w:eastAsia="Georgia" w:hAnsi="Georgia" w:cs="Georgia"/>
          <w:sz w:val="21"/>
          <w:szCs w:val="21"/>
        </w:rPr>
      </w:pPr>
    </w:p>
    <w:p w14:paraId="3242C312" w14:textId="77777777" w:rsidR="008409E4" w:rsidRDefault="00000000" w:rsidP="00B60610">
      <w:pPr>
        <w:spacing w:after="90" w:line="283" w:lineRule="auto"/>
        <w:jc w:val="both"/>
        <w:rPr>
          <w:rFonts w:ascii="Georgia" w:eastAsia="Georgia" w:hAnsi="Georgia" w:cs="Georgia"/>
          <w:b/>
          <w:bCs/>
          <w:color w:val="6B2124"/>
          <w:sz w:val="21"/>
          <w:szCs w:val="21"/>
        </w:rPr>
      </w:pPr>
      <w:r>
        <w:rPr>
          <w:rFonts w:ascii="Georgia" w:eastAsia="Georgia" w:hAnsi="Georgia" w:cs="Georgia"/>
          <w:b/>
          <w:bCs/>
          <w:color w:val="6B2124"/>
          <w:sz w:val="21"/>
          <w:szCs w:val="21"/>
        </w:rPr>
        <w:t>Table 1. Proposed phases and predicted cloth signatures</w:t>
      </w:r>
    </w:p>
    <w:p w14:paraId="46425E95" w14:textId="77777777" w:rsidR="008409E4" w:rsidRDefault="008409E4" w:rsidP="00B60610">
      <w:pPr>
        <w:spacing w:after="90" w:line="283" w:lineRule="auto"/>
        <w:jc w:val="both"/>
        <w:rPr>
          <w:rFonts w:ascii="Georgia" w:eastAsia="Georgia" w:hAnsi="Georgia" w:cs="Georgia"/>
          <w:sz w:val="21"/>
          <w:szCs w:val="21"/>
        </w:rPr>
      </w:pPr>
    </w:p>
    <w:p w14:paraId="7B335A2F"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Stage: Premortem bleeding</w:t>
      </w:r>
    </w:p>
    <w:p w14:paraId="7C17B807"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Physical state: Flowing blood plus early clot</w:t>
      </w:r>
    </w:p>
    <w:p w14:paraId="34FBE798"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Expected cloth signature: Directional rivulets; repeated paths; cellular-rich deposit</w:t>
      </w:r>
    </w:p>
    <w:p w14:paraId="3EF08038"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Diagnostic value: Compatible with bleeding while circulation persisted, but direction is posture-dependent.</w:t>
      </w:r>
    </w:p>
    <w:p w14:paraId="2B73C18E" w14:textId="77777777" w:rsidR="008409E4" w:rsidRDefault="008409E4" w:rsidP="00B60610">
      <w:pPr>
        <w:spacing w:after="90" w:line="283" w:lineRule="auto"/>
        <w:jc w:val="both"/>
        <w:rPr>
          <w:rFonts w:ascii="Georgia" w:eastAsia="Georgia" w:hAnsi="Georgia" w:cs="Georgia"/>
          <w:sz w:val="21"/>
          <w:szCs w:val="21"/>
        </w:rPr>
      </w:pPr>
    </w:p>
    <w:p w14:paraId="12D53CEE"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Stage: Clot retraction</w:t>
      </w:r>
    </w:p>
    <w:p w14:paraId="198F2FDC"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Physical state: Fibrin-cell clot plus expelled serum</w:t>
      </w:r>
    </w:p>
    <w:p w14:paraId="252BC3A5"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Expected cloth signature: UV-fluorescent partial margin or downstream serum zone</w:t>
      </w:r>
    </w:p>
    <w:p w14:paraId="1AFD57AD"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Diagnostic value: Suggests prior differential-fluid migration and may support coagulation with phase separation, but is not chemically unique.</w:t>
      </w:r>
    </w:p>
    <w:p w14:paraId="04194D4F" w14:textId="77777777" w:rsidR="008409E4" w:rsidRDefault="008409E4" w:rsidP="00B60610">
      <w:pPr>
        <w:spacing w:after="90" w:line="283" w:lineRule="auto"/>
        <w:jc w:val="both"/>
        <w:rPr>
          <w:rFonts w:ascii="Georgia" w:eastAsia="Georgia" w:hAnsi="Georgia" w:cs="Georgia"/>
          <w:sz w:val="21"/>
          <w:szCs w:val="21"/>
        </w:rPr>
      </w:pPr>
    </w:p>
    <w:p w14:paraId="59B791C9"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Stage: Postmortem unnailing</w:t>
      </w:r>
    </w:p>
    <w:p w14:paraId="7260ADCC"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 xml:space="preserve">Physical state: Fibrinolysed or residual fluid blood</w:t>
      </w:r>
    </w:p>
    <w:p w14:paraId="01F86CE4"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Expected cloth signature: New passive rivulet; may overlap older deposit; often no discrete halo</w:t>
      </w:r>
    </w:p>
    <w:p w14:paraId="32760B05"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Diagnostic value: Plausible postmortem handling, not proof of asphyxia.</w:t>
      </w:r>
    </w:p>
    <w:p w14:paraId="75918E64" w14:textId="77777777" w:rsidR="008409E4" w:rsidRDefault="008409E4" w:rsidP="00B60610">
      <w:pPr>
        <w:spacing w:after="90" w:line="283" w:lineRule="auto"/>
        <w:jc w:val="both"/>
        <w:rPr>
          <w:rFonts w:ascii="Georgia" w:eastAsia="Georgia" w:hAnsi="Georgia" w:cs="Georgia"/>
          <w:sz w:val="21"/>
          <w:szCs w:val="21"/>
        </w:rPr>
      </w:pPr>
    </w:p>
    <w:p w14:paraId="6C107F6C"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Stage: Humid rehydration</w:t>
      </w:r>
    </w:p>
    <w:p w14:paraId="4FF53E0E"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Physical state: Dried clot becomes gelatinous</w:t>
      </w:r>
    </w:p>
    <w:p w14:paraId="0E5A879D"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Expected cloth signature: Delayed imprint that closely reproduces the original stain's edges and pattern</w:t>
      </w:r>
    </w:p>
    <w:p w14:paraId="4211546C"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Diagnostic value: Extends transfer window; outcome depends on temperature, RH, time, and substrate.</w:t>
      </w:r>
    </w:p>
    <w:p w14:paraId="2DE08A87" w14:textId="77777777" w:rsidR="008409E4" w:rsidRDefault="008409E4" w:rsidP="00B60610">
      <w:pPr>
        <w:spacing w:after="90" w:line="283" w:lineRule="auto"/>
        <w:jc w:val="both"/>
        <w:rPr>
          <w:rFonts w:ascii="Georgia" w:eastAsia="Georgia" w:hAnsi="Georgia" w:cs="Georgia"/>
          <w:sz w:val="21"/>
          <w:szCs w:val="21"/>
        </w:rPr>
      </w:pPr>
    </w:p>
    <w:p w14:paraId="1A2F27F9"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Stage: Direct liquid deposition</w:t>
      </w:r>
    </w:p>
    <w:p w14:paraId="1E1D4783"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Physical state: Homogeneous liquid blood/exudate</w:t>
      </w:r>
    </w:p>
    <w:p w14:paraId="644D2E13"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Expected cloth signature: Diffuse absorption; weak or absent peripheral serum edge</w:t>
      </w:r>
    </w:p>
    <w:p w14:paraId="562DA0C6" w14:textId="1D4D6666"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Diagnostic value: Cannot explain every halo-positive mark by itself.</w:t>
      </w:r>
    </w:p>
    <w:p w14:paraId="2F7DB9DA" w14:textId="77777777" w:rsidR="008409E4" w:rsidRDefault="00000000" w:rsidP="00B60610">
      <w:pPr>
        <w:pStyle w:val="Ttulo1"/>
        <w:spacing w:after="90" w:line="283" w:lineRule="auto"/>
        <w:jc w:val="both"/>
        <w:rPr>
          <w:rFonts w:ascii="Georgia" w:eastAsia="Georgia" w:hAnsi="Georgia" w:cs="Georgia"/>
          <w:b/>
          <w:bCs/>
          <w:color w:val="6B2124"/>
          <w:sz w:val="28"/>
          <w:szCs w:val="28"/>
        </w:rPr>
      </w:pPr>
      <w:bookmarkStart w:id="11" w:name="_eh45d1syo7jx" w:colFirst="0" w:colLast="0"/>
      <w:bookmarkEnd w:id="11"/>
      <w:r>
        <w:rPr>
          <w:rFonts w:ascii="Georgia" w:eastAsia="Georgia" w:hAnsi="Georgia" w:cs="Georgia"/>
          <w:b/>
          <w:bCs/>
          <w:color w:val="6B2124"/>
          <w:sz w:val="28"/>
          <w:szCs w:val="28"/>
        </w:rPr>
        <w:t>6. HOW THE MODEL EXPLAINS THE “DILEMMA”</w:t>
      </w:r>
    </w:p>
    <w:p w14:paraId="054FA595" w14:textId="77777777" w:rsidR="008409E4" w:rsidRDefault="008409E4" w:rsidP="00B60610">
      <w:pPr>
        <w:spacing w:after="90" w:line="283" w:lineRule="auto"/>
        <w:jc w:val="both"/>
        <w:rPr>
          <w:rFonts w:ascii="Georgia" w:eastAsia="Georgia" w:hAnsi="Georgia" w:cs="Georgia"/>
          <w:sz w:val="21"/>
          <w:szCs w:val="21"/>
        </w:rPr>
      </w:pPr>
    </w:p>
    <w:p w14:paraId="5B90003F"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One wound can contain deposits formed at different times and in different rheological states. A premortem clot with serum separation can coexist with a later postmortem rivulet released during unnailing or handling; linen contact can capture both, and humidity can preserve or restore transferability. Halo-positive and halo-negative components are therefore predicted by a composite sequence rather than mutually contradictory.</w:t>
      </w:r>
    </w:p>
    <w:p w14:paraId="3E6656CA" w14:textId="77777777" w:rsidR="008409E4" w:rsidRDefault="008409E4" w:rsidP="00B60610">
      <w:pPr>
        <w:spacing w:after="90" w:line="283" w:lineRule="auto"/>
        <w:jc w:val="both"/>
        <w:rPr>
          <w:rFonts w:ascii="Georgia" w:eastAsia="Georgia" w:hAnsi="Georgia" w:cs="Georgia"/>
          <w:sz w:val="21"/>
          <w:szCs w:val="21"/>
        </w:rPr>
      </w:pPr>
    </w:p>
    <w:p w14:paraId="771C5E6B"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lastRenderedPageBreak/>
        <w:t>The model also predicts absences. Newly discharged noncoagulating postmortem blood would not be expected to generate a new clot-retraction halo by itself. A halo-positive zone therefore supports earlier fluid separation or sequential differential-fluid deposition. Natural clot retraction is one experimentally supported mechanism [6,11], but alternative or artificial mechanisms—sequential serum, plasma, pleural fluid, or other clear-fluid application—must be excluded independently. A washing-only model cannot explain all halo-positive marks, although postmortem drainage may account for some liquid-flow components.</w:t>
      </w:r>
    </w:p>
    <w:p w14:paraId="165F2350" w14:textId="77777777" w:rsidR="008409E4" w:rsidRDefault="008409E4" w:rsidP="00B60610">
      <w:pPr>
        <w:spacing w:after="90" w:line="283" w:lineRule="auto"/>
        <w:jc w:val="both"/>
        <w:rPr>
          <w:rFonts w:ascii="Georgia" w:eastAsia="Georgia" w:hAnsi="Georgia" w:cs="Georgia"/>
          <w:sz w:val="21"/>
          <w:szCs w:val="21"/>
        </w:rPr>
      </w:pPr>
    </w:p>
    <w:p w14:paraId="5ADA7207"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noProof/>
          <w:sz w:val="21"/>
          <w:szCs w:val="21"/>
        </w:rPr>
        <w:drawing>
          <wp:inline distT="114300" distB="114300" distL="114300" distR="114300" wp14:anchorId="06DA5CCF" wp14:editId="02273743">
            <wp:extent cx="5715000" cy="1376606"/>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5715000" cy="1376606"/>
                    </a:xfrm>
                    <a:prstGeom prst="rect">
                      <a:avLst/>
                    </a:prstGeom>
                    <a:ln/>
                  </pic:spPr>
                </pic:pic>
              </a:graphicData>
            </a:graphic>
          </wp:inline>
        </w:drawing>
      </w:r>
    </w:p>
    <w:p w14:paraId="095558B4" w14:textId="77777777" w:rsidR="008409E4" w:rsidRDefault="00000000" w:rsidP="00B60610">
      <w:pPr>
        <w:spacing w:after="90" w:line="283" w:lineRule="auto"/>
        <w:jc w:val="both"/>
        <w:rPr>
          <w:rFonts w:ascii="Georgia" w:eastAsia="Georgia" w:hAnsi="Georgia" w:cs="Georgia"/>
          <w:i/>
          <w:iCs/>
          <w:sz w:val="18"/>
          <w:szCs w:val="18"/>
        </w:rPr>
      </w:pPr>
      <w:r>
        <w:rPr>
          <w:rFonts w:ascii="Georgia" w:eastAsia="Georgia" w:hAnsi="Georgia" w:cs="Georgia"/>
          <w:i/>
          <w:iCs/>
          <w:sz w:val="18"/>
          <w:szCs w:val="18"/>
        </w:rPr>
        <w:t>Figure 4. Similar peripheral rings produced by sequential deposition of different clear biological fluids and whole blood. Whole blood alone produced no pale surrounding margin, whereas blood deposited over serum or pleural effusion produced a lighter peripheral zone. The visual similarity demonstrates that ring morphology alone cannot chemically distinguish clot-derived serum from other clear-fluid mechanisms. Reproduced from König et al. [24], Figure 3, under CC BY 4.0.</w:t>
      </w:r>
    </w:p>
    <w:p w14:paraId="2A38A2EB" w14:textId="77777777" w:rsidR="008409E4" w:rsidRDefault="008409E4" w:rsidP="00B60610">
      <w:pPr>
        <w:spacing w:after="90" w:line="283" w:lineRule="auto"/>
        <w:jc w:val="both"/>
        <w:rPr>
          <w:rFonts w:ascii="Georgia" w:eastAsia="Georgia" w:hAnsi="Georgia" w:cs="Georgia"/>
          <w:sz w:val="21"/>
          <w:szCs w:val="21"/>
        </w:rPr>
      </w:pPr>
    </w:p>
    <w:p w14:paraId="72812405" w14:textId="3D5E05F6" w:rsidR="008409E4" w:rsidRPr="00C20465" w:rsidRDefault="00000000" w:rsidP="00B60610">
      <w:pPr>
        <w:spacing w:after="90" w:line="283" w:lineRule="auto"/>
        <w:jc w:val="both"/>
        <w:rPr>
          <w:rFonts w:ascii="Georgia" w:eastAsia="Georgia" w:hAnsi="Georgia" w:cs="Georgia"/>
          <w:i/>
          <w:iCs/>
          <w:color w:val="6B6B6B"/>
          <w:sz w:val="16"/>
          <w:szCs w:val="16"/>
        </w:rPr>
      </w:pPr>
      <w:r>
        <w:rPr>
          <w:rFonts w:ascii="Georgia" w:eastAsia="Georgia" w:hAnsi="Georgia" w:cs="Georgia"/>
          <w:i/>
          <w:iCs/>
          <w:color w:val="6B6B6B"/>
          <w:sz w:val="16"/>
          <w:szCs w:val="16"/>
        </w:rPr>
        <w:t>Image description: Four groups of dried stains on white cotton cloth compare whole blood alone with blood added over serum or pleural effusion. Blood alone forms a dark spot with a defined edge. Sequentially deposited samples show a dark central region surrounded by a paler ring that appears similar in the serum and pleural-fluid groups.</w:t>
      </w:r>
    </w:p>
    <w:p w14:paraId="5F4FBEAA" w14:textId="77777777" w:rsidR="008409E4" w:rsidRDefault="00000000" w:rsidP="00B60610">
      <w:pPr>
        <w:pStyle w:val="Ttulo1"/>
        <w:spacing w:after="90" w:line="283" w:lineRule="auto"/>
        <w:jc w:val="both"/>
        <w:rPr>
          <w:rFonts w:ascii="Georgia" w:eastAsia="Georgia" w:hAnsi="Georgia" w:cs="Georgia"/>
          <w:b/>
          <w:bCs/>
          <w:color w:val="6B2124"/>
          <w:sz w:val="28"/>
          <w:szCs w:val="28"/>
        </w:rPr>
      </w:pPr>
      <w:bookmarkStart w:id="12" w:name="_8p7oi7tmgbcx" w:colFirst="0" w:colLast="0"/>
      <w:bookmarkEnd w:id="12"/>
      <w:r>
        <w:rPr>
          <w:rFonts w:ascii="Georgia" w:eastAsia="Georgia" w:hAnsi="Georgia" w:cs="Georgia"/>
          <w:b/>
          <w:bCs/>
          <w:color w:val="6B2124"/>
          <w:sz w:val="28"/>
          <w:szCs w:val="28"/>
        </w:rPr>
        <w:t>7. COMPETING TRANSFER MODELS</w:t>
      </w:r>
    </w:p>
    <w:p w14:paraId="11525A80" w14:textId="77777777" w:rsidR="008409E4" w:rsidRDefault="008409E4" w:rsidP="00B60610">
      <w:pPr>
        <w:spacing w:after="90" w:line="283" w:lineRule="auto"/>
        <w:jc w:val="both"/>
        <w:rPr>
          <w:rFonts w:ascii="Georgia" w:eastAsia="Georgia" w:hAnsi="Georgia" w:cs="Georgia"/>
          <w:sz w:val="21"/>
          <w:szCs w:val="21"/>
        </w:rPr>
      </w:pPr>
    </w:p>
    <w:p w14:paraId="1F6692B4" w14:textId="77777777" w:rsidR="008409E4" w:rsidRDefault="00000000" w:rsidP="00B60610">
      <w:pPr>
        <w:spacing w:after="90" w:line="283" w:lineRule="auto"/>
        <w:jc w:val="both"/>
        <w:rPr>
          <w:rFonts w:ascii="Georgia" w:eastAsia="Georgia" w:hAnsi="Georgia" w:cs="Georgia"/>
          <w:b/>
          <w:bCs/>
          <w:color w:val="6B2124"/>
          <w:sz w:val="21"/>
          <w:szCs w:val="21"/>
        </w:rPr>
      </w:pPr>
      <w:r>
        <w:rPr>
          <w:rFonts w:ascii="Georgia" w:eastAsia="Georgia" w:hAnsi="Georgia" w:cs="Georgia"/>
          <w:b/>
          <w:bCs/>
          <w:color w:val="6B2124"/>
          <w:sz w:val="21"/>
          <w:szCs w:val="21"/>
        </w:rPr>
        <w:t>Table 2. Comparison of principal transfer models</w:t>
      </w:r>
    </w:p>
    <w:p w14:paraId="3D16D1B1" w14:textId="77777777" w:rsidR="008409E4" w:rsidRDefault="008409E4" w:rsidP="00B60610">
      <w:pPr>
        <w:spacing w:after="90" w:line="283" w:lineRule="auto"/>
        <w:jc w:val="both"/>
        <w:rPr>
          <w:rFonts w:ascii="Georgia" w:eastAsia="Georgia" w:hAnsi="Georgia" w:cs="Georgia"/>
          <w:sz w:val="21"/>
          <w:szCs w:val="21"/>
        </w:rPr>
      </w:pPr>
    </w:p>
    <w:p w14:paraId="2F774606"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Immediate wet contact. Core proposition: The cloth contacted fresh blood shortly after injury or death. Scientific assessment: Explains strong absorption and some flows; does not naturally generate every separated serum edge.</w:t>
      </w:r>
    </w:p>
    <w:p w14:paraId="0DC61C0A" w14:textId="77777777" w:rsidR="008409E4" w:rsidRDefault="008409E4" w:rsidP="00B60610">
      <w:pPr>
        <w:spacing w:after="90" w:line="283" w:lineRule="auto"/>
        <w:jc w:val="both"/>
        <w:rPr>
          <w:rFonts w:ascii="Georgia" w:eastAsia="Georgia" w:hAnsi="Georgia" w:cs="Georgia"/>
          <w:sz w:val="21"/>
          <w:szCs w:val="21"/>
        </w:rPr>
      </w:pPr>
    </w:p>
    <w:p w14:paraId="042E6688"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Moist clot contact. Core proposition: Partly clotted blood transferred during the early post-injury window. Scientific assessment: Explains mirror-like clot images and serum margins; timing is constrained unless moisture is retained.</w:t>
      </w:r>
    </w:p>
    <w:p w14:paraId="03201A0B" w14:textId="77777777" w:rsidR="008409E4" w:rsidRDefault="008409E4" w:rsidP="00B60610">
      <w:pPr>
        <w:spacing w:after="90" w:line="283" w:lineRule="auto"/>
        <w:jc w:val="both"/>
        <w:rPr>
          <w:rFonts w:ascii="Georgia" w:eastAsia="Georgia" w:hAnsi="Georgia" w:cs="Georgia"/>
          <w:sz w:val="21"/>
          <w:szCs w:val="21"/>
        </w:rPr>
      </w:pPr>
    </w:p>
    <w:p w14:paraId="0193D90A"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Humidity-mediated delayed transfer. Core proposition: Dried blood was rehydrated in a humid chamber and then imprinted. Scientific assessment: Experimentally demonstrated; produces sharp-edged transfers that closely reproduce the original stain's shape and pattern [10], distinct from the separate finding that fresh blood dried under high ambient humidity shows impaired halo formation [8,9].</w:t>
      </w:r>
    </w:p>
    <w:p w14:paraId="1FF9FB3A" w14:textId="77777777" w:rsidR="008409E4" w:rsidRDefault="008409E4" w:rsidP="00B60610">
      <w:pPr>
        <w:spacing w:after="90" w:line="283" w:lineRule="auto"/>
        <w:jc w:val="both"/>
        <w:rPr>
          <w:rFonts w:ascii="Georgia" w:eastAsia="Georgia" w:hAnsi="Georgia" w:cs="Georgia"/>
          <w:sz w:val="21"/>
          <w:szCs w:val="21"/>
        </w:rPr>
      </w:pPr>
    </w:p>
    <w:p w14:paraId="54279916"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Postmortem wound oozing after washing. Core proposition: The body was washed and wounds re-emitted fluid blood. Scientific assessment: Explains late liquid marks; challenged by failure of noncoagulating blood to form serum halos.</w:t>
      </w:r>
    </w:p>
    <w:p w14:paraId="0E28B075" w14:textId="77777777" w:rsidR="008409E4" w:rsidRDefault="008409E4" w:rsidP="00B60610">
      <w:pPr>
        <w:spacing w:after="90" w:line="283" w:lineRule="auto"/>
        <w:jc w:val="both"/>
        <w:rPr>
          <w:rFonts w:ascii="Georgia" w:eastAsia="Georgia" w:hAnsi="Georgia" w:cs="Georgia"/>
          <w:sz w:val="21"/>
          <w:szCs w:val="21"/>
        </w:rPr>
      </w:pPr>
    </w:p>
    <w:p w14:paraId="4A063100"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Composite clot plus postmortem flow. Core proposition: Older coagulated blood and later passive drainage were transferred together. Scientific assessment: Integrates the greatest number of biological stages considered here and offers a testable explanation of mixed halo-positive and halo-negative morphology; still requires direct Shroud-specific testing and does not exclude deliberate sequential application.</w:t>
      </w:r>
    </w:p>
    <w:p w14:paraId="6A92A530" w14:textId="77777777" w:rsidR="008409E4" w:rsidRDefault="008409E4" w:rsidP="00B60610">
      <w:pPr>
        <w:spacing w:after="90" w:line="283" w:lineRule="auto"/>
        <w:jc w:val="both"/>
        <w:rPr>
          <w:rFonts w:ascii="Georgia" w:eastAsia="Georgia" w:hAnsi="Georgia" w:cs="Georgia"/>
          <w:sz w:val="21"/>
          <w:szCs w:val="21"/>
        </w:rPr>
      </w:pPr>
    </w:p>
    <w:p w14:paraId="16D81AA0"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Artistic application using real blood. Core proposition: A maker applied blood, serum, pigment, binder, or mixtures to linen in one or more stages. Scientific assessment: Cannot be excluded by blood chemistry alone. It should be tested against biological transfer using spatially resolved chemistry, UV gradients, yarn-level penetration, anatomical distribution, sequencing relationships, binder and tool-mark searches, and blinded classification. No known controlled reproduction has yet been reported that reproduces all of these properties simultaneously; this absence is not evidence of impossibility.</w:t>
      </w:r>
    </w:p>
    <w:p w14:paraId="7B822D16" w14:textId="77777777" w:rsidR="008409E4" w:rsidRDefault="008409E4" w:rsidP="00B60610">
      <w:pPr>
        <w:spacing w:after="90" w:line="283" w:lineRule="auto"/>
        <w:jc w:val="both"/>
        <w:rPr>
          <w:rFonts w:ascii="Georgia" w:eastAsia="Georgia" w:hAnsi="Georgia" w:cs="Georgia"/>
          <w:sz w:val="21"/>
          <w:szCs w:val="21"/>
        </w:rPr>
      </w:pPr>
    </w:p>
    <w:p w14:paraId="4C089157" w14:textId="77777777" w:rsidR="008409E4" w:rsidRDefault="00000000" w:rsidP="00B60610">
      <w:pPr>
        <w:spacing w:after="90" w:line="283" w:lineRule="auto"/>
        <w:jc w:val="both"/>
        <w:rPr>
          <w:rFonts w:ascii="Georgia" w:eastAsia="Georgia" w:hAnsi="Georgia" w:cs="Georgia"/>
          <w:b/>
          <w:bCs/>
          <w:color w:val="50634D"/>
        </w:rPr>
      </w:pPr>
      <w:r>
        <w:rPr>
          <w:rFonts w:ascii="Georgia" w:eastAsia="Georgia" w:hAnsi="Georgia" w:cs="Georgia"/>
          <w:b/>
          <w:bCs/>
          <w:color w:val="50634D"/>
        </w:rPr>
        <w:t>7.1 Why a composite model is preferable</w:t>
      </w:r>
    </w:p>
    <w:p w14:paraId="7FBC8341" w14:textId="77777777" w:rsidR="008409E4" w:rsidRDefault="008409E4" w:rsidP="00B60610">
      <w:pPr>
        <w:spacing w:after="90" w:line="283" w:lineRule="auto"/>
        <w:jc w:val="both"/>
        <w:rPr>
          <w:rFonts w:ascii="Georgia" w:eastAsia="Georgia" w:hAnsi="Georgia" w:cs="Georgia"/>
          <w:sz w:val="21"/>
          <w:szCs w:val="21"/>
        </w:rPr>
      </w:pPr>
    </w:p>
    <w:p w14:paraId="062B53C7" w14:textId="5B177CF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A single-mechanism model must force all stains into one category, whereas the cloth appears heterogeneous: some marks have fluorescent margins, others do not; some resemble bounded transfers, others flowing liquid. The composite model is preferred here only as a comparative working hypothesis because it links those observations to a natural sequence of changing wound states and generates spatial predictions. It is not established merely by accommodating more observations. The proper test is to map each wrist microregion under calibrated visible, UV, infrared, chemical, and microscopic imaging and determine whether the predicted chronology is internally consistent and discriminates the model from wet contact, washing, sequential clear-fluid application, fire or water alteration, and deliberate application using genuine blood.</w:t>
      </w:r>
    </w:p>
    <w:p w14:paraId="4739B9F5" w14:textId="77777777" w:rsidR="008409E4" w:rsidRDefault="00000000" w:rsidP="00B60610">
      <w:pPr>
        <w:pStyle w:val="Ttulo1"/>
        <w:spacing w:after="90" w:line="283" w:lineRule="auto"/>
        <w:jc w:val="both"/>
        <w:rPr>
          <w:rFonts w:ascii="Georgia" w:eastAsia="Georgia" w:hAnsi="Georgia" w:cs="Georgia"/>
          <w:b/>
          <w:bCs/>
          <w:color w:val="6B2124"/>
          <w:sz w:val="28"/>
          <w:szCs w:val="28"/>
        </w:rPr>
      </w:pPr>
      <w:bookmarkStart w:id="13" w:name="_y46chejx1bkx" w:colFirst="0" w:colLast="0"/>
      <w:bookmarkEnd w:id="13"/>
      <w:r>
        <w:rPr>
          <w:rFonts w:ascii="Georgia" w:eastAsia="Georgia" w:hAnsi="Georgia" w:cs="Georgia"/>
          <w:b/>
          <w:bCs/>
          <w:color w:val="6B2124"/>
          <w:sz w:val="28"/>
          <w:szCs w:val="28"/>
        </w:rPr>
        <w:t>8. EVALUATION OF MAJOR EXPERT CONTRIBUTIONS</w:t>
      </w:r>
    </w:p>
    <w:p w14:paraId="0C9FBC7B" w14:textId="77777777" w:rsidR="008409E4" w:rsidRDefault="008409E4" w:rsidP="00B60610">
      <w:pPr>
        <w:spacing w:after="90" w:line="283" w:lineRule="auto"/>
        <w:jc w:val="both"/>
        <w:rPr>
          <w:rFonts w:ascii="Georgia" w:eastAsia="Georgia" w:hAnsi="Georgia" w:cs="Georgia"/>
          <w:sz w:val="21"/>
          <w:szCs w:val="21"/>
        </w:rPr>
      </w:pPr>
    </w:p>
    <w:p w14:paraId="670E714E" w14:textId="77777777" w:rsidR="008409E4" w:rsidRDefault="00000000" w:rsidP="00B60610">
      <w:pPr>
        <w:spacing w:after="90" w:line="283" w:lineRule="auto"/>
        <w:jc w:val="both"/>
        <w:rPr>
          <w:rFonts w:ascii="Georgia" w:eastAsia="Georgia" w:hAnsi="Georgia" w:cs="Georgia"/>
          <w:b/>
          <w:bCs/>
          <w:color w:val="50634D"/>
        </w:rPr>
      </w:pPr>
      <w:r>
        <w:rPr>
          <w:rFonts w:ascii="Georgia" w:eastAsia="Georgia" w:hAnsi="Georgia" w:cs="Georgia"/>
          <w:b/>
          <w:bCs/>
          <w:color w:val="50634D"/>
        </w:rPr>
        <w:t>8.1 Heller and Adler</w:t>
      </w:r>
    </w:p>
    <w:p w14:paraId="301DA723" w14:textId="77777777" w:rsidR="008409E4" w:rsidRDefault="008409E4" w:rsidP="00B60610">
      <w:pPr>
        <w:spacing w:after="90" w:line="283" w:lineRule="auto"/>
        <w:jc w:val="both"/>
        <w:rPr>
          <w:rFonts w:ascii="Georgia" w:eastAsia="Georgia" w:hAnsi="Georgia" w:cs="Georgia"/>
          <w:sz w:val="21"/>
          <w:szCs w:val="21"/>
        </w:rPr>
      </w:pPr>
    </w:p>
    <w:p w14:paraId="7CA1AF78"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Heller and Adler provided the foundational chemical case for blood: heme derivatives, proteins, albumin, and bile pigments [1,2]. Adler also emphasized serum exudate and clot retraction. Their work remains central, but it was performed on tiny tape-lift particles with 1970s–1980s instrumentation. Modern confirmation should use independent laboratories, blanks from image-free linen, contaminant libraries, and orthogonal methods such as LC-MS/MS proteomics, Raman mapping, and targeted immunoassays with validated species specificity.</w:t>
      </w:r>
    </w:p>
    <w:p w14:paraId="61D592EA" w14:textId="77777777" w:rsidR="008409E4" w:rsidRDefault="008409E4" w:rsidP="00B60610">
      <w:pPr>
        <w:spacing w:after="90" w:line="283" w:lineRule="auto"/>
        <w:jc w:val="both"/>
        <w:rPr>
          <w:rFonts w:ascii="Georgia" w:eastAsia="Georgia" w:hAnsi="Georgia" w:cs="Georgia"/>
          <w:sz w:val="21"/>
          <w:szCs w:val="21"/>
        </w:rPr>
      </w:pPr>
    </w:p>
    <w:p w14:paraId="597212D1" w14:textId="77777777" w:rsidR="008409E4" w:rsidRDefault="00000000" w:rsidP="00B60610">
      <w:pPr>
        <w:spacing w:after="90" w:line="283" w:lineRule="auto"/>
        <w:jc w:val="both"/>
        <w:rPr>
          <w:rFonts w:ascii="Georgia" w:eastAsia="Georgia" w:hAnsi="Georgia" w:cs="Georgia"/>
          <w:b/>
          <w:bCs/>
          <w:color w:val="50634D"/>
        </w:rPr>
      </w:pPr>
      <w:r>
        <w:rPr>
          <w:rFonts w:ascii="Georgia" w:eastAsia="Georgia" w:hAnsi="Georgia" w:cs="Georgia"/>
          <w:b/>
          <w:bCs/>
          <w:color w:val="50634D"/>
        </w:rPr>
        <w:t>8.2 Kelly P. Kearse</w:t>
      </w:r>
    </w:p>
    <w:p w14:paraId="0848C6C7" w14:textId="77777777" w:rsidR="008409E4" w:rsidRDefault="008409E4" w:rsidP="00B60610">
      <w:pPr>
        <w:spacing w:after="90" w:line="283" w:lineRule="auto"/>
        <w:jc w:val="both"/>
        <w:rPr>
          <w:rFonts w:ascii="Georgia" w:eastAsia="Georgia" w:hAnsi="Georgia" w:cs="Georgia"/>
          <w:sz w:val="21"/>
          <w:szCs w:val="21"/>
        </w:rPr>
      </w:pPr>
    </w:p>
    <w:p w14:paraId="6AFE7484"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 xml:space="preserve">Kearse's importance lies in converting a Shroud-specific assertion into general forensic experiments. 365 nm UV detection, clot-transfer controls, direct-addition controls, environmental testing, and humidity-mediated retransfer provide a mechanistic bridge between the 1978 images and modern blood science [6–11]. Equally important, Kearse has repeatedly corrected overstatements about species, ABO type, DNA, bilirubin, and trauma biomarkers. His work supports a serum-associated interpretation while warning </w:t>
        <w:lastRenderedPageBreak/>
        <w:t>against using weak serology to claim human, male, AB, or Semitic identity [12–14]. These experiments remain principally single-investigator proof-of-principle studies. Before the proposed signatures are treated as validated forensic discriminators, independent laboratories should reproduce them with prespecified primary endpoints, characterized blood variables, historically relevant linen, calibrated 365 nm imaging, adequate positive and negative controls, blinded scoring, and publication of raw images and negative results. Replication should test not only whether fluorescence occurs, but whether edge width, intensity gradients, transfer timing, and classification performance are reproducible across operators and laboratories.</w:t>
      </w:r>
    </w:p>
    <w:p w14:paraId="3EC8DCF2" w14:textId="77777777" w:rsidR="008409E4" w:rsidRDefault="008409E4" w:rsidP="00B60610">
      <w:pPr>
        <w:spacing w:after="90" w:line="283" w:lineRule="auto"/>
        <w:jc w:val="both"/>
        <w:rPr>
          <w:rFonts w:ascii="Georgia" w:eastAsia="Georgia" w:hAnsi="Georgia" w:cs="Georgia"/>
          <w:sz w:val="21"/>
          <w:szCs w:val="21"/>
        </w:rPr>
      </w:pPr>
    </w:p>
    <w:p w14:paraId="3AD10675" w14:textId="77777777" w:rsidR="008409E4" w:rsidRDefault="00000000" w:rsidP="00B60610">
      <w:pPr>
        <w:spacing w:after="90" w:line="283" w:lineRule="auto"/>
        <w:jc w:val="both"/>
        <w:rPr>
          <w:rFonts w:ascii="Georgia" w:eastAsia="Georgia" w:hAnsi="Georgia" w:cs="Georgia"/>
          <w:b/>
          <w:bCs/>
          <w:color w:val="50634D"/>
        </w:rPr>
      </w:pPr>
      <w:r>
        <w:rPr>
          <w:rFonts w:ascii="Georgia" w:eastAsia="Georgia" w:hAnsi="Georgia" w:cs="Georgia"/>
          <w:b/>
          <w:bCs/>
          <w:color w:val="50634D"/>
        </w:rPr>
        <w:t>8.3 Frederick Zugibe</w:t>
      </w:r>
    </w:p>
    <w:p w14:paraId="7FF18879" w14:textId="77777777" w:rsidR="008409E4" w:rsidRDefault="008409E4" w:rsidP="00B60610">
      <w:pPr>
        <w:spacing w:after="90" w:line="283" w:lineRule="auto"/>
        <w:jc w:val="both"/>
        <w:rPr>
          <w:rFonts w:ascii="Georgia" w:eastAsia="Georgia" w:hAnsi="Georgia" w:cs="Georgia"/>
          <w:sz w:val="21"/>
          <w:szCs w:val="21"/>
        </w:rPr>
      </w:pPr>
    </w:p>
    <w:p w14:paraId="700D7F38"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Zugibe brought decades of medical-examiner experience to postmortem wound behavior and crucifixion physiology [18]. His observation that washed cadaver wounds may ooze fluid blood is plausible and consistent with fibrinolysis. Yet his washing model does not by itself account for clot-associated serum margins. Kearse's modern controls therefore refine rather than simply reject Zugibe: postmortem oozing may explain some liquid components, but not all halo-positive stains.</w:t>
      </w:r>
    </w:p>
    <w:p w14:paraId="50D66B86" w14:textId="77777777" w:rsidR="008409E4" w:rsidRDefault="008409E4" w:rsidP="00B60610">
      <w:pPr>
        <w:spacing w:after="90" w:line="283" w:lineRule="auto"/>
        <w:jc w:val="both"/>
        <w:rPr>
          <w:rFonts w:ascii="Georgia" w:eastAsia="Georgia" w:hAnsi="Georgia" w:cs="Georgia"/>
          <w:sz w:val="21"/>
          <w:szCs w:val="21"/>
        </w:rPr>
      </w:pPr>
    </w:p>
    <w:p w14:paraId="4CE7C7F9" w14:textId="77777777" w:rsidR="008409E4" w:rsidRDefault="00000000" w:rsidP="00B60610">
      <w:pPr>
        <w:spacing w:after="90" w:line="283" w:lineRule="auto"/>
        <w:jc w:val="both"/>
        <w:rPr>
          <w:rFonts w:ascii="Georgia" w:eastAsia="Georgia" w:hAnsi="Georgia" w:cs="Georgia"/>
          <w:b/>
          <w:bCs/>
          <w:color w:val="50634D"/>
        </w:rPr>
      </w:pPr>
      <w:r>
        <w:rPr>
          <w:rFonts w:ascii="Georgia" w:eastAsia="Georgia" w:hAnsi="Georgia" w:cs="Georgia"/>
          <w:b/>
          <w:bCs/>
          <w:color w:val="50634D"/>
        </w:rPr>
        <w:t>8.4 Gilbert Lavoie and colleagues</w:t>
      </w:r>
    </w:p>
    <w:p w14:paraId="72EF828E" w14:textId="77777777" w:rsidR="008409E4" w:rsidRDefault="008409E4" w:rsidP="00B60610">
      <w:pPr>
        <w:spacing w:after="90" w:line="283" w:lineRule="auto"/>
        <w:jc w:val="both"/>
        <w:rPr>
          <w:rFonts w:ascii="Georgia" w:eastAsia="Georgia" w:hAnsi="Georgia" w:cs="Georgia"/>
          <w:sz w:val="21"/>
          <w:szCs w:val="21"/>
        </w:rPr>
      </w:pPr>
    </w:p>
    <w:p w14:paraId="69707F63"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The Lavoie experiments demonstrated that clots can transfer recognizable mirror images to linen and that transfer quality depends strongly on elapsed time and retained moisture [15]. Their experimental scale was modest and did not reproduce a full crucifixion wound, but the work correctly identified a physical constraint: a dry crust does not imprint well unless the interface remains moist or is rehydrated.</w:t>
      </w:r>
    </w:p>
    <w:p w14:paraId="1BD3F845" w14:textId="77777777" w:rsidR="008409E4" w:rsidRDefault="008409E4" w:rsidP="00B60610">
      <w:pPr>
        <w:spacing w:after="90" w:line="283" w:lineRule="auto"/>
        <w:jc w:val="both"/>
        <w:rPr>
          <w:rFonts w:ascii="Georgia" w:eastAsia="Georgia" w:hAnsi="Georgia" w:cs="Georgia"/>
          <w:sz w:val="21"/>
          <w:szCs w:val="21"/>
        </w:rPr>
      </w:pPr>
    </w:p>
    <w:p w14:paraId="2DE839D9" w14:textId="77777777" w:rsidR="008409E4" w:rsidRDefault="00000000" w:rsidP="00B60610">
      <w:pPr>
        <w:spacing w:after="90" w:line="283" w:lineRule="auto"/>
        <w:jc w:val="both"/>
        <w:rPr>
          <w:rFonts w:ascii="Georgia" w:eastAsia="Georgia" w:hAnsi="Georgia" w:cs="Georgia"/>
          <w:b/>
          <w:bCs/>
          <w:color w:val="50634D"/>
        </w:rPr>
      </w:pPr>
      <w:r>
        <w:rPr>
          <w:rFonts w:ascii="Georgia" w:eastAsia="Georgia" w:hAnsi="Georgia" w:cs="Georgia"/>
          <w:b/>
          <w:bCs/>
          <w:color w:val="50634D"/>
        </w:rPr>
        <w:t>8.5 Giulio Fanti</w:t>
      </w:r>
    </w:p>
    <w:p w14:paraId="40FFF7F3" w14:textId="77777777" w:rsidR="008409E4" w:rsidRDefault="008409E4" w:rsidP="00B60610">
      <w:pPr>
        <w:spacing w:after="90" w:line="283" w:lineRule="auto"/>
        <w:jc w:val="both"/>
        <w:rPr>
          <w:rFonts w:ascii="Georgia" w:eastAsia="Georgia" w:hAnsi="Georgia" w:cs="Georgia"/>
          <w:sz w:val="21"/>
          <w:szCs w:val="21"/>
        </w:rPr>
      </w:pPr>
    </w:p>
    <w:p w14:paraId="36D7EF02"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 xml:space="preserve">Fanti's 2024 paper [21] proposes multiple morphological classes or deposition phases in the blood-associated material, including postmortem leakage, earlier blood transferred after humid rehydration, and serum-rich components. Fanti and Zagotto [22] separately reported pigment particles associated with blood-region samples and proposed later reinforcement or retouching. This broad multimodal interpretation is compatible with the present synthesis. Several more specific claims—microscopic erythrocyte classification, creatinine-ferritin evidence of torture, pulmonary edema fluid, and neutron-related isotopic effects—remain insufficiently validated. The concern is not a direct experimental refutation of those hypotheses, but the limited specificity, provenance, and replication of the reported measurements. Creatinine is small and diffusible, ferritin is not unique to one trauma state, and both may be affected by postmortem change, contamination, extraction, and heterogeneous sampling. Without isotope-dilution standards, extraction blanks, aged-linen controls, securely documented sample chains, validated diagnostic thresholds, and independent replication, these biomarkers cannot by themselves establish a premortem physiological state or polytrauma. The appropriate conclusion is therefore that the claims remain hypotheses requiring targeted confirmation, not that they have been disproved. UV detection of elevated bilirubin in dried serum has been separately documented in controlled experiments [34], but applying that result to centuries-old heterogeneous Shroud material likewise requires validated extraction and spectral controls.</w:t>
      </w:r>
    </w:p>
    <w:p w14:paraId="462693E3" w14:textId="77777777" w:rsidR="00C20465" w:rsidRDefault="00C20465" w:rsidP="00B60610">
      <w:pPr>
        <w:spacing w:after="90" w:line="283" w:lineRule="auto"/>
        <w:jc w:val="both"/>
        <w:rPr>
          <w:rFonts w:ascii="Georgia" w:eastAsia="Georgia" w:hAnsi="Georgia" w:cs="Georgia"/>
          <w:sz w:val="21"/>
          <w:szCs w:val="21"/>
        </w:rPr>
      </w:pPr>
    </w:p>
    <w:p w14:paraId="14F8EF61" w14:textId="77777777" w:rsidR="008409E4" w:rsidRDefault="008409E4" w:rsidP="00B60610">
      <w:pPr>
        <w:spacing w:after="90" w:line="283" w:lineRule="auto"/>
        <w:jc w:val="both"/>
        <w:rPr>
          <w:rFonts w:ascii="Georgia" w:eastAsia="Georgia" w:hAnsi="Georgia" w:cs="Georgia"/>
          <w:sz w:val="21"/>
          <w:szCs w:val="21"/>
        </w:rPr>
      </w:pPr>
    </w:p>
    <w:p w14:paraId="2D0412F0" w14:textId="77777777" w:rsidR="008409E4" w:rsidRDefault="00000000" w:rsidP="00B60610">
      <w:pPr>
        <w:spacing w:after="90" w:line="283" w:lineRule="auto"/>
        <w:jc w:val="both"/>
        <w:rPr>
          <w:rFonts w:ascii="Georgia" w:eastAsia="Georgia" w:hAnsi="Georgia" w:cs="Georgia"/>
          <w:b/>
          <w:bCs/>
          <w:color w:val="50634D"/>
        </w:rPr>
      </w:pPr>
      <w:r>
        <w:rPr>
          <w:rFonts w:ascii="Georgia" w:eastAsia="Georgia" w:hAnsi="Georgia" w:cs="Georgia"/>
          <w:b/>
          <w:bCs/>
          <w:color w:val="50634D"/>
        </w:rPr>
        <w:lastRenderedPageBreak/>
        <w:t>8.6 Heger and colleagues</w:t>
      </w:r>
    </w:p>
    <w:p w14:paraId="10574B98" w14:textId="77777777" w:rsidR="008409E4" w:rsidRDefault="008409E4" w:rsidP="00B60610">
      <w:pPr>
        <w:spacing w:after="90" w:line="283" w:lineRule="auto"/>
        <w:jc w:val="both"/>
        <w:rPr>
          <w:rFonts w:ascii="Georgia" w:eastAsia="Georgia" w:hAnsi="Georgia" w:cs="Georgia"/>
          <w:sz w:val="21"/>
          <w:szCs w:val="21"/>
        </w:rPr>
      </w:pPr>
    </w:p>
    <w:p w14:paraId="7FFBC7DA"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 xml:space="preserve">Heger and colleagues applied blood to living volunteers and evaluated marks attributed to the crown of thorns, lance wound, belt of blood, hands, and forearms [23,24]. They showed that applied blood under controlled or jerky arm movements can form some patterns resembling Shroud features, and that certain movement sequences may be compatible with a hypothetical handling interval. Their work strengthens the feasibility of movement-dependent pattern formation and cautions against overprecise pose reconstruction. However, these experiments did not model a true nail tract, cadaveric tissue, postmortem vascular drainage, actual wound-reopening during unnailing, linen contact, or the serum-halo component of the composite model.</w:t>
      </w:r>
    </w:p>
    <w:p w14:paraId="792EFAE4" w14:textId="77777777" w:rsidR="008409E4" w:rsidRDefault="008409E4" w:rsidP="00B60610">
      <w:pPr>
        <w:spacing w:after="90" w:line="283" w:lineRule="auto"/>
        <w:jc w:val="both"/>
        <w:rPr>
          <w:rFonts w:ascii="Georgia" w:eastAsia="Georgia" w:hAnsi="Georgia" w:cs="Georgia"/>
          <w:sz w:val="21"/>
          <w:szCs w:val="21"/>
        </w:rPr>
      </w:pPr>
    </w:p>
    <w:p w14:paraId="1A5BF10B" w14:textId="77777777" w:rsidR="008409E4" w:rsidRDefault="00000000" w:rsidP="00B60610">
      <w:pPr>
        <w:spacing w:after="90" w:line="283" w:lineRule="auto"/>
        <w:jc w:val="both"/>
        <w:rPr>
          <w:rFonts w:ascii="Georgia" w:eastAsia="Georgia" w:hAnsi="Georgia" w:cs="Georgia"/>
          <w:b/>
          <w:bCs/>
          <w:color w:val="50634D"/>
        </w:rPr>
      </w:pPr>
      <w:r>
        <w:rPr>
          <w:rFonts w:ascii="Georgia" w:eastAsia="Georgia" w:hAnsi="Georgia" w:cs="Georgia"/>
          <w:b/>
          <w:bCs/>
          <w:color w:val="50634D"/>
        </w:rPr>
        <w:t xml:space="preserve">8.7 Borrini and Garlaschelli</w:t>
      </w:r>
    </w:p>
    <w:p w14:paraId="543B0258" w14:textId="77777777" w:rsidR="008409E4" w:rsidRDefault="008409E4" w:rsidP="00B60610">
      <w:pPr>
        <w:spacing w:after="90" w:line="283" w:lineRule="auto"/>
        <w:jc w:val="both"/>
        <w:rPr>
          <w:rFonts w:ascii="Georgia" w:eastAsia="Georgia" w:hAnsi="Georgia" w:cs="Georgia"/>
          <w:sz w:val="21"/>
          <w:szCs w:val="21"/>
        </w:rPr>
      </w:pPr>
    </w:p>
    <w:p w14:paraId="76D5D184"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 xml:space="preserve">Borrini and Garlaschelli applied bloodstain pattern analysis to selected hand, forearm, side, and lumbar marks using a living volunteer, stored anticoagulated human blood for the arm trials, synthetic blood for other simulations, and a mannequin torso [25]. They found that the short dorsal-hand rivulets and the longer forearm paths required different arm angles, that an upright chest source could produce frontal vertical flows, and that their supine mannequin trials did not reproduce the dorsal “belt of blood.” These experiments legitimately challenge reconstructions that assign all flows to one static posture and reinforce the nonuniqueness of stain-angle interpretation. Their conclusions are nevertheless limited by intact living skin rather than a true nail tract or cadaveric tissue, anticoagulated or synthetic blood rather than naturally clotting wound blood, simplified source geometry, and the absence of a sequential model incorporating clot retraction, postmortem fibrinolysis, unnailing, transport, linen contact pressure, and humidity. Their nail-and-wood simulation produced inconclusive results in part because the setup used a horizontal substrate rather than an elevated cross geometry, and because flow rates were not independently calibrated against physiological values. The study therefore identifies inconsistencies in the particular scenarios tested, but it neither demonstrates artistic production nor excludes a multiphase sequence in which different flows arose at different times and were transferred to cloth under different conditions.</w:t>
      </w:r>
    </w:p>
    <w:p w14:paraId="03D3B635" w14:textId="77777777" w:rsidR="008409E4" w:rsidRDefault="008409E4" w:rsidP="00B60610">
      <w:pPr>
        <w:spacing w:after="90" w:line="283" w:lineRule="auto"/>
        <w:jc w:val="both"/>
        <w:rPr>
          <w:rFonts w:ascii="Georgia" w:eastAsia="Georgia" w:hAnsi="Georgia" w:cs="Georgia"/>
          <w:sz w:val="21"/>
          <w:szCs w:val="21"/>
        </w:rPr>
      </w:pPr>
    </w:p>
    <w:p w14:paraId="6C01CF77" w14:textId="77777777" w:rsidR="008409E4" w:rsidRDefault="00000000" w:rsidP="00B60610">
      <w:pPr>
        <w:spacing w:after="90" w:line="283" w:lineRule="auto"/>
        <w:jc w:val="both"/>
        <w:rPr>
          <w:rFonts w:ascii="Georgia" w:eastAsia="Georgia" w:hAnsi="Georgia" w:cs="Georgia"/>
          <w:b/>
          <w:bCs/>
          <w:color w:val="50634D"/>
        </w:rPr>
      </w:pPr>
      <w:r>
        <w:rPr>
          <w:rFonts w:ascii="Georgia" w:eastAsia="Georgia" w:hAnsi="Georgia" w:cs="Georgia"/>
          <w:b/>
          <w:bCs/>
          <w:color w:val="50634D"/>
        </w:rPr>
        <w:t>8.8 McCrone and the pigment alternative</w:t>
      </w:r>
    </w:p>
    <w:p w14:paraId="1C80FB9F" w14:textId="77777777" w:rsidR="008409E4" w:rsidRDefault="008409E4" w:rsidP="00B60610">
      <w:pPr>
        <w:spacing w:after="90" w:line="283" w:lineRule="auto"/>
        <w:jc w:val="both"/>
        <w:rPr>
          <w:rFonts w:ascii="Georgia" w:eastAsia="Georgia" w:hAnsi="Georgia" w:cs="Georgia"/>
          <w:sz w:val="21"/>
          <w:szCs w:val="21"/>
        </w:rPr>
      </w:pPr>
    </w:p>
    <w:p w14:paraId="1B41D21D"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McCrone identified red ochre and vermilion particles and argued that the image and blood were artistic pigment in a protein binder [26]. STURP investigators countered that pigment quantities and distributions could not account for the body image and that blood chemistry was present. A rigorous synthesis should not caricature either position. Pigment particles are real, but may derive from contamination, painted copies, or retouching; blood components are also reported. The decisive question is quantitative spatial colocalization: do pigment and binder form the continuous chromophore responsible for the red marks, or are they sparse contaminants embedded in genuine blood residues? Settling this would require Raman mapping at submicron resolution across statistically representative areas of both wound and non-wound regions, combined with XRF elemental mapping and high-resolution reflectance imaging. The threshold for attribution would be the spatial coincidence of iron-oxide or vermilion Raman signatures with the chromophore layer rather than overlying or adjacent to it, reproducible across independent laboratories with blinded sample preparation. Existing legacy samples have not settled this at modern analytical resolution.</w:t>
      </w:r>
    </w:p>
    <w:p w14:paraId="472663B9" w14:textId="77777777" w:rsidR="008409E4" w:rsidRDefault="008409E4" w:rsidP="00B60610">
      <w:pPr>
        <w:spacing w:after="90" w:line="283" w:lineRule="auto"/>
        <w:jc w:val="both"/>
        <w:rPr>
          <w:rFonts w:ascii="Georgia" w:eastAsia="Georgia" w:hAnsi="Georgia" w:cs="Georgia"/>
          <w:sz w:val="21"/>
          <w:szCs w:val="21"/>
        </w:rPr>
      </w:pPr>
    </w:p>
    <w:p w14:paraId="26CC8B19" w14:textId="77777777" w:rsidR="008409E4" w:rsidRDefault="00000000" w:rsidP="00B60610">
      <w:pPr>
        <w:pStyle w:val="Ttulo1"/>
        <w:spacing w:after="90" w:line="283" w:lineRule="auto"/>
        <w:jc w:val="both"/>
        <w:rPr>
          <w:rFonts w:ascii="Georgia" w:eastAsia="Georgia" w:hAnsi="Georgia" w:cs="Georgia"/>
          <w:b/>
          <w:bCs/>
          <w:color w:val="6B2124"/>
          <w:sz w:val="28"/>
          <w:szCs w:val="28"/>
        </w:rPr>
      </w:pPr>
      <w:bookmarkStart w:id="14" w:name="_6p6tkmm9o8mi" w:colFirst="0" w:colLast="0"/>
      <w:bookmarkEnd w:id="14"/>
      <w:r>
        <w:rPr>
          <w:rFonts w:ascii="Georgia" w:eastAsia="Georgia" w:hAnsi="Georgia" w:cs="Georgia"/>
          <w:b/>
          <w:bCs/>
          <w:color w:val="6B2124"/>
          <w:sz w:val="28"/>
          <w:szCs w:val="28"/>
        </w:rPr>
        <w:lastRenderedPageBreak/>
        <w:t>9. CLAIMS THAT SHOULD AND SHOULD NOT BE MADE</w:t>
      </w:r>
    </w:p>
    <w:p w14:paraId="1000FE39" w14:textId="77777777" w:rsidR="008409E4" w:rsidRDefault="008409E4" w:rsidP="00B60610">
      <w:pPr>
        <w:spacing w:after="90" w:line="283" w:lineRule="auto"/>
        <w:jc w:val="both"/>
        <w:rPr>
          <w:rFonts w:ascii="Georgia" w:eastAsia="Georgia" w:hAnsi="Georgia" w:cs="Georgia"/>
          <w:sz w:val="21"/>
          <w:szCs w:val="21"/>
        </w:rPr>
      </w:pPr>
    </w:p>
    <w:p w14:paraId="112596C5" w14:textId="77777777" w:rsidR="008409E4" w:rsidRDefault="00000000" w:rsidP="00B60610">
      <w:pPr>
        <w:spacing w:after="90" w:line="283" w:lineRule="auto"/>
        <w:jc w:val="both"/>
        <w:rPr>
          <w:rFonts w:ascii="Georgia" w:eastAsia="Georgia" w:hAnsi="Georgia" w:cs="Georgia"/>
          <w:b/>
          <w:bCs/>
          <w:color w:val="6B2124"/>
          <w:sz w:val="21"/>
          <w:szCs w:val="21"/>
        </w:rPr>
      </w:pPr>
      <w:r>
        <w:rPr>
          <w:rFonts w:ascii="Georgia" w:eastAsia="Georgia" w:hAnsi="Georgia" w:cs="Georgia"/>
          <w:b/>
          <w:bCs/>
          <w:color w:val="6B2124"/>
          <w:sz w:val="21"/>
          <w:szCs w:val="21"/>
        </w:rPr>
        <w:t>Table 3. Evidential assessment of commonly repeated Shroud blood claims</w:t>
      </w:r>
    </w:p>
    <w:p w14:paraId="6A15B0AC" w14:textId="77777777" w:rsidR="008409E4" w:rsidRDefault="008409E4" w:rsidP="00B60610">
      <w:pPr>
        <w:spacing w:after="90" w:line="283" w:lineRule="auto"/>
        <w:jc w:val="both"/>
        <w:rPr>
          <w:rFonts w:ascii="Georgia" w:eastAsia="Georgia" w:hAnsi="Georgia" w:cs="Georgia"/>
          <w:sz w:val="21"/>
          <w:szCs w:val="21"/>
        </w:rPr>
      </w:pPr>
    </w:p>
    <w:p w14:paraId="5D279DA9"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Claim: The wound marks contain blood components.</w:t>
      </w:r>
    </w:p>
    <w:p w14:paraId="53D83ACE"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Best current assessment: Supported by multiple chemical and optical tests, though sample heterogeneity and contamination remain.</w:t>
      </w:r>
    </w:p>
    <w:p w14:paraId="2954C595"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Confidence: Moderate to high.</w:t>
      </w:r>
    </w:p>
    <w:p w14:paraId="342CA951" w14:textId="77777777" w:rsidR="008409E4" w:rsidRDefault="008409E4" w:rsidP="00B60610">
      <w:pPr>
        <w:spacing w:after="90" w:line="283" w:lineRule="auto"/>
        <w:jc w:val="both"/>
        <w:rPr>
          <w:rFonts w:ascii="Georgia" w:eastAsia="Georgia" w:hAnsi="Georgia" w:cs="Georgia"/>
          <w:sz w:val="21"/>
          <w:szCs w:val="21"/>
        </w:rPr>
      </w:pPr>
    </w:p>
    <w:p w14:paraId="30684724"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Claim: Fluorescent margins are compatible with serum.</w:t>
      </w:r>
    </w:p>
    <w:p w14:paraId="2B7E0B31"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Best current assessment: Strongly supported by UV behavior and modern serum controls.</w:t>
      </w:r>
    </w:p>
    <w:p w14:paraId="1D802BD9"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Confidence: High for compatibility; lower for unique attribution.</w:t>
      </w:r>
    </w:p>
    <w:p w14:paraId="591EDD87" w14:textId="77777777" w:rsidR="008409E4" w:rsidRDefault="008409E4" w:rsidP="00B60610">
      <w:pPr>
        <w:spacing w:after="90" w:line="283" w:lineRule="auto"/>
        <w:jc w:val="both"/>
        <w:rPr>
          <w:rFonts w:ascii="Georgia" w:eastAsia="Georgia" w:hAnsi="Georgia" w:cs="Georgia"/>
          <w:sz w:val="21"/>
          <w:szCs w:val="21"/>
        </w:rPr>
      </w:pPr>
    </w:p>
    <w:p w14:paraId="102558A4"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Claim: Peripheral fluorescent margins uniquely prove natural clot transfer.</w:t>
      </w:r>
    </w:p>
    <w:p w14:paraId="03C641D5"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Best current assessment: They support prior differential-fluid migration and may favor clot-associated transfer, but sequential serum, plasma, pleural-fluid, water-mediated, or artificial application can produce superficially similar margins.</w:t>
      </w:r>
    </w:p>
    <w:p w14:paraId="67D828F8"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Confidence: Moderate for prior differential-fluid migration; low to moderate for unique natural clot-retraction attribution.</w:t>
      </w:r>
    </w:p>
    <w:p w14:paraId="6AA8B2D1" w14:textId="77777777" w:rsidR="008409E4" w:rsidRDefault="008409E4" w:rsidP="00B60610">
      <w:pPr>
        <w:spacing w:after="90" w:line="283" w:lineRule="auto"/>
        <w:jc w:val="both"/>
        <w:rPr>
          <w:rFonts w:ascii="Georgia" w:eastAsia="Georgia" w:hAnsi="Georgia" w:cs="Georgia"/>
          <w:sz w:val="21"/>
          <w:szCs w:val="21"/>
        </w:rPr>
      </w:pPr>
    </w:p>
    <w:p w14:paraId="64E0FE60"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Claim: High humidity can permit delayed transfer of dried blood.</w:t>
      </w:r>
    </w:p>
    <w:p w14:paraId="268B8BC8"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Best current assessment: Experimentally demonstrated.</w:t>
      </w:r>
    </w:p>
    <w:p w14:paraId="527E4881"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Confidence: High.</w:t>
      </w:r>
    </w:p>
    <w:p w14:paraId="51B05654" w14:textId="77777777" w:rsidR="008409E4" w:rsidRDefault="008409E4" w:rsidP="00B60610">
      <w:pPr>
        <w:spacing w:after="90" w:line="283" w:lineRule="auto"/>
        <w:jc w:val="both"/>
        <w:rPr>
          <w:rFonts w:ascii="Georgia" w:eastAsia="Georgia" w:hAnsi="Georgia" w:cs="Georgia"/>
          <w:sz w:val="21"/>
          <w:szCs w:val="21"/>
        </w:rPr>
      </w:pPr>
    </w:p>
    <w:p w14:paraId="74ECA9B5"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Claim: A tomb was exactly 10 °C (50 °F) and 95% RH.</w:t>
      </w:r>
    </w:p>
    <w:p w14:paraId="363772C0"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Best current assessment: Not established for the specific tomb; should be presented only as a hypothetical condition.</w:t>
      </w:r>
    </w:p>
    <w:p w14:paraId="0839FC1B"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Confidence: Low.</w:t>
      </w:r>
    </w:p>
    <w:p w14:paraId="33894ECF" w14:textId="77777777" w:rsidR="008409E4" w:rsidRDefault="008409E4" w:rsidP="00B60610">
      <w:pPr>
        <w:spacing w:after="90" w:line="283" w:lineRule="auto"/>
        <w:jc w:val="both"/>
        <w:rPr>
          <w:rFonts w:ascii="Georgia" w:eastAsia="Georgia" w:hAnsi="Georgia" w:cs="Georgia"/>
          <w:sz w:val="21"/>
          <w:szCs w:val="21"/>
        </w:rPr>
      </w:pPr>
    </w:p>
    <w:p w14:paraId="35A11B1D"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Claim: Asphyxiation made the blood fluid.</w:t>
      </w:r>
    </w:p>
    <w:p w14:paraId="0099FF0E"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Best current assessment: Postmortem fibrinolysis can produce fluid blood in several death contexts; not specific for asphyxia.</w:t>
      </w:r>
    </w:p>
    <w:p w14:paraId="2EDA758F"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Confidence: Low as a diagnostic claim.</w:t>
      </w:r>
    </w:p>
    <w:p w14:paraId="0DDCAEA5" w14:textId="77777777" w:rsidR="008409E4" w:rsidRDefault="008409E4" w:rsidP="00B60610">
      <w:pPr>
        <w:spacing w:after="90" w:line="283" w:lineRule="auto"/>
        <w:jc w:val="both"/>
        <w:rPr>
          <w:rFonts w:ascii="Georgia" w:eastAsia="Georgia" w:hAnsi="Georgia" w:cs="Georgia"/>
          <w:sz w:val="21"/>
          <w:szCs w:val="21"/>
        </w:rPr>
      </w:pPr>
    </w:p>
    <w:p w14:paraId="662497B0"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Claim: Nail removal could produce a new postmortem flow.</w:t>
      </w:r>
    </w:p>
    <w:p w14:paraId="24DC35C9"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 xml:space="preserve">Best current assessment: Physiologically plausible through disruption of a wound tract, release of pooled or fibrinolysed blood, gravity, and handling. Movement experiments provide indirect support, but nail-removal drainage has not been directly reproduced in a realistic postmortem wound model.</w:t>
      </w:r>
    </w:p>
    <w:p w14:paraId="2F081EF6"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lastRenderedPageBreak/>
        <w:t>Confidence: Moderate.</w:t>
      </w:r>
    </w:p>
    <w:p w14:paraId="65988D05" w14:textId="77777777" w:rsidR="008409E4" w:rsidRDefault="008409E4" w:rsidP="00B60610">
      <w:pPr>
        <w:spacing w:after="90" w:line="283" w:lineRule="auto"/>
        <w:jc w:val="both"/>
        <w:rPr>
          <w:rFonts w:ascii="Georgia" w:eastAsia="Georgia" w:hAnsi="Georgia" w:cs="Georgia"/>
          <w:sz w:val="21"/>
          <w:szCs w:val="21"/>
        </w:rPr>
      </w:pPr>
    </w:p>
    <w:p w14:paraId="2866E7DD"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Claim: The blood is conclusively human and type AB.</w:t>
      </w:r>
    </w:p>
    <w:p w14:paraId="0ED9C41B"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Best current assessment: Frequently repeated but not established to modern forensic standards. Legacy studies relied heavily on polyclonal antisera applied to aged, degraded material; ABO-active substances may reach linen through environmental contamination [32,33,35]. Recent critical reviews reach the same conclusion [36].</w:t>
      </w:r>
    </w:p>
    <w:p w14:paraId="534509D6"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Confidence: Low to moderate.</w:t>
      </w:r>
    </w:p>
    <w:p w14:paraId="1A974244" w14:textId="77777777" w:rsidR="008409E4" w:rsidRDefault="008409E4" w:rsidP="00B60610">
      <w:pPr>
        <w:spacing w:after="90" w:line="283" w:lineRule="auto"/>
        <w:jc w:val="both"/>
        <w:rPr>
          <w:rFonts w:ascii="Georgia" w:eastAsia="Georgia" w:hAnsi="Georgia" w:cs="Georgia"/>
          <w:sz w:val="21"/>
          <w:szCs w:val="21"/>
        </w:rPr>
      </w:pPr>
    </w:p>
    <w:p w14:paraId="37D5F748"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Claim: The blood is male or Semitic.</w:t>
      </w:r>
    </w:p>
    <w:p w14:paraId="267C510F"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Best current assessment: Not demonstrated.</w:t>
      </w:r>
    </w:p>
    <w:p w14:paraId="0A3E865E"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Confidence: Very low.</w:t>
      </w:r>
    </w:p>
    <w:p w14:paraId="1BB5766E" w14:textId="77777777" w:rsidR="008409E4" w:rsidRDefault="008409E4" w:rsidP="00B60610">
      <w:pPr>
        <w:spacing w:after="90" w:line="283" w:lineRule="auto"/>
        <w:jc w:val="both"/>
        <w:rPr>
          <w:rFonts w:ascii="Georgia" w:eastAsia="Georgia" w:hAnsi="Georgia" w:cs="Georgia"/>
          <w:sz w:val="21"/>
          <w:szCs w:val="21"/>
        </w:rPr>
      </w:pPr>
    </w:p>
    <w:p w14:paraId="1B8D08DE"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Claim: Premortem and postmortem blood have been conclusively distinguished.</w:t>
      </w:r>
    </w:p>
    <w:p w14:paraId="0C99FB40"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Best current assessment: Morphological hypotheses exist, but no validated Shroud-specific molecular assay has established the distinction.</w:t>
      </w:r>
    </w:p>
    <w:p w14:paraId="0A488E7C"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Confidence: Low.</w:t>
      </w:r>
    </w:p>
    <w:p w14:paraId="1C8EE26C" w14:textId="77777777" w:rsidR="008409E4" w:rsidRDefault="008409E4" w:rsidP="00B60610">
      <w:pPr>
        <w:spacing w:after="90" w:line="283" w:lineRule="auto"/>
        <w:jc w:val="both"/>
        <w:rPr>
          <w:rFonts w:ascii="Georgia" w:eastAsia="Georgia" w:hAnsi="Georgia" w:cs="Georgia"/>
          <w:sz w:val="21"/>
          <w:szCs w:val="21"/>
        </w:rPr>
      </w:pPr>
    </w:p>
    <w:p w14:paraId="309105A1"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Claim: Ferritin/creatinine prove polytrauma.</w:t>
      </w:r>
    </w:p>
    <w:p w14:paraId="4691B466"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Best current assessment: Interesting but insufficiently validated; tiny samples and contamination preclude a strong diagnosis.</w:t>
      </w:r>
    </w:p>
    <w:p w14:paraId="5EC28EC2"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Confidence: Low.</w:t>
      </w:r>
    </w:p>
    <w:p w14:paraId="68EBA348" w14:textId="77777777" w:rsidR="008409E4" w:rsidRDefault="008409E4" w:rsidP="00B60610">
      <w:pPr>
        <w:spacing w:after="90" w:line="283" w:lineRule="auto"/>
        <w:jc w:val="both"/>
        <w:rPr>
          <w:rFonts w:ascii="Georgia" w:eastAsia="Georgia" w:hAnsi="Georgia" w:cs="Georgia"/>
          <w:sz w:val="21"/>
          <w:szCs w:val="21"/>
        </w:rPr>
      </w:pPr>
    </w:p>
    <w:p w14:paraId="32E3F632"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Claim: The blood evidence authenticates the Shroud as Jesus' burial cloth.</w:t>
      </w:r>
    </w:p>
    <w:p w14:paraId="6E68AB5C"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Best current assessment: It may support compatibility with a wounded body, but identity and date require independent evidence.</w:t>
      </w:r>
    </w:p>
    <w:p w14:paraId="4082E866"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Confidence: Not established.</w:t>
      </w:r>
    </w:p>
    <w:p w14:paraId="791A742F" w14:textId="77777777" w:rsidR="008409E4" w:rsidRDefault="008409E4" w:rsidP="00B60610">
      <w:pPr>
        <w:spacing w:after="90" w:line="283" w:lineRule="auto"/>
        <w:jc w:val="both"/>
        <w:rPr>
          <w:rFonts w:ascii="Georgia" w:eastAsia="Georgia" w:hAnsi="Georgia" w:cs="Georgia"/>
          <w:sz w:val="21"/>
          <w:szCs w:val="21"/>
        </w:rPr>
      </w:pPr>
    </w:p>
    <w:p w14:paraId="06E814D5"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Confidence rubric: grades reflect convergence of direct Shroud observations, experimental reproducibility, methodological validation, sample provenance, independence of replication, and exclusion of plausible alternatives. Categories are qualitative narrative-review judgments, not formal GRADE assessments.</w:t>
      </w:r>
    </w:p>
    <w:p w14:paraId="1073D645" w14:textId="77777777" w:rsidR="008409E4" w:rsidRDefault="008409E4" w:rsidP="00B60610">
      <w:pPr>
        <w:spacing w:after="90" w:line="283" w:lineRule="auto"/>
        <w:jc w:val="both"/>
        <w:rPr>
          <w:rFonts w:ascii="Georgia" w:eastAsia="Georgia" w:hAnsi="Georgia" w:cs="Georgia"/>
          <w:sz w:val="21"/>
          <w:szCs w:val="21"/>
        </w:rPr>
      </w:pPr>
    </w:p>
    <w:p w14:paraId="46EFD2F5" w14:textId="77777777" w:rsidR="008409E4" w:rsidRDefault="00000000" w:rsidP="00B60610">
      <w:pPr>
        <w:pStyle w:val="Ttulo1"/>
        <w:spacing w:after="90" w:line="283" w:lineRule="auto"/>
        <w:jc w:val="both"/>
        <w:rPr>
          <w:rFonts w:ascii="Georgia" w:eastAsia="Georgia" w:hAnsi="Georgia" w:cs="Georgia"/>
          <w:b/>
          <w:bCs/>
          <w:color w:val="6B2124"/>
          <w:sz w:val="28"/>
          <w:szCs w:val="28"/>
        </w:rPr>
      </w:pPr>
      <w:bookmarkStart w:id="15" w:name="_ay91qinqr49v" w:colFirst="0" w:colLast="0"/>
      <w:bookmarkEnd w:id="15"/>
      <w:r>
        <w:rPr>
          <w:rFonts w:ascii="Georgia" w:eastAsia="Georgia" w:hAnsi="Georgia" w:cs="Georgia"/>
          <w:b/>
          <w:bCs/>
          <w:color w:val="6B2124"/>
          <w:sz w:val="28"/>
          <w:szCs w:val="28"/>
        </w:rPr>
        <w:t>10. FORENSIC INTERPRETATION OF OTHER SHROUD BLOOD FEATURES</w:t>
      </w:r>
    </w:p>
    <w:p w14:paraId="797CDC30" w14:textId="77777777" w:rsidR="008409E4" w:rsidRDefault="008409E4" w:rsidP="00B60610">
      <w:pPr>
        <w:spacing w:after="90" w:line="283" w:lineRule="auto"/>
        <w:jc w:val="both"/>
        <w:rPr>
          <w:rFonts w:ascii="Georgia" w:eastAsia="Georgia" w:hAnsi="Georgia" w:cs="Georgia"/>
          <w:sz w:val="21"/>
          <w:szCs w:val="21"/>
        </w:rPr>
      </w:pPr>
    </w:p>
    <w:p w14:paraId="46181FD0" w14:textId="77777777" w:rsidR="008409E4" w:rsidRDefault="00000000" w:rsidP="00B60610">
      <w:pPr>
        <w:spacing w:after="90" w:line="283" w:lineRule="auto"/>
        <w:jc w:val="both"/>
        <w:rPr>
          <w:rFonts w:ascii="Georgia" w:eastAsia="Georgia" w:hAnsi="Georgia" w:cs="Georgia"/>
          <w:b/>
          <w:bCs/>
          <w:color w:val="50634D"/>
        </w:rPr>
      </w:pPr>
      <w:r>
        <w:rPr>
          <w:rFonts w:ascii="Georgia" w:eastAsia="Georgia" w:hAnsi="Georgia" w:cs="Georgia"/>
          <w:b/>
          <w:bCs/>
          <w:color w:val="50634D"/>
        </w:rPr>
        <w:t>10.1 Side wound</w:t>
      </w:r>
    </w:p>
    <w:p w14:paraId="26894A80" w14:textId="77777777" w:rsidR="008409E4" w:rsidRDefault="008409E4" w:rsidP="00B60610">
      <w:pPr>
        <w:spacing w:after="90" w:line="283" w:lineRule="auto"/>
        <w:jc w:val="both"/>
        <w:rPr>
          <w:rFonts w:ascii="Georgia" w:eastAsia="Georgia" w:hAnsi="Georgia" w:cs="Georgia"/>
          <w:sz w:val="21"/>
          <w:szCs w:val="21"/>
        </w:rPr>
      </w:pPr>
    </w:p>
    <w:p w14:paraId="7BFBE577"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lastRenderedPageBreak/>
        <w:t>The side mark contains a large blood-associated area with a surrounding or adjoining pale region interpreted by some investigators as serum, pleural or pericardial fluid, or pulmonary edema fluid. The morphology is compatible with postmortem drainage from a thoracic wound after repositioning, but colorimetry alone cannot identify the clear component [20]. Protein profiling, lipid markers, electrolyte ratios, and microscopic distribution would be needed to distinguish serum from pleural fluid, interstitial fluid, water damage, or altered linen fluorescence.</w:t>
      </w:r>
    </w:p>
    <w:p w14:paraId="099F05B0" w14:textId="77777777" w:rsidR="008409E4" w:rsidRDefault="008409E4" w:rsidP="00B60610">
      <w:pPr>
        <w:spacing w:after="90" w:line="283" w:lineRule="auto"/>
        <w:jc w:val="both"/>
        <w:rPr>
          <w:rFonts w:ascii="Georgia" w:eastAsia="Georgia" w:hAnsi="Georgia" w:cs="Georgia"/>
          <w:sz w:val="21"/>
          <w:szCs w:val="21"/>
        </w:rPr>
      </w:pPr>
    </w:p>
    <w:p w14:paraId="34A9E35E" w14:textId="77777777" w:rsidR="008409E4" w:rsidRDefault="00000000" w:rsidP="00B60610">
      <w:pPr>
        <w:spacing w:after="90" w:line="283" w:lineRule="auto"/>
        <w:jc w:val="both"/>
        <w:rPr>
          <w:rFonts w:ascii="Georgia" w:eastAsia="Georgia" w:hAnsi="Georgia" w:cs="Georgia"/>
          <w:b/>
          <w:bCs/>
          <w:color w:val="50634D"/>
        </w:rPr>
      </w:pPr>
      <w:r>
        <w:rPr>
          <w:rFonts w:ascii="Georgia" w:eastAsia="Georgia" w:hAnsi="Georgia" w:cs="Georgia"/>
          <w:b/>
          <w:bCs/>
          <w:color w:val="50634D"/>
        </w:rPr>
        <w:t>10.2 Dorsal foot and ankle</w:t>
      </w:r>
    </w:p>
    <w:p w14:paraId="748449FD" w14:textId="77777777" w:rsidR="008409E4" w:rsidRDefault="008409E4" w:rsidP="00B60610">
      <w:pPr>
        <w:spacing w:after="90" w:line="283" w:lineRule="auto"/>
        <w:jc w:val="both"/>
        <w:rPr>
          <w:rFonts w:ascii="Georgia" w:eastAsia="Georgia" w:hAnsi="Georgia" w:cs="Georgia"/>
          <w:sz w:val="21"/>
          <w:szCs w:val="21"/>
        </w:rPr>
      </w:pPr>
    </w:p>
    <w:p w14:paraId="12175BA2"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Serum-like fluorescence and extensive staining near the feet are often linked to nail removal and pooling. The feet would plausibly retain blood and fluid because of dependent circulation before death and gravitational pooling afterward. Contact pressure from wrapping could also be greater at the heels. Yet the region has complex water, scorch, and historical damage patterns, so calibrated mapping is essential.</w:t>
      </w:r>
    </w:p>
    <w:p w14:paraId="25231EE9" w14:textId="77777777" w:rsidR="008409E4" w:rsidRDefault="008409E4" w:rsidP="00B60610">
      <w:pPr>
        <w:spacing w:after="90" w:line="283" w:lineRule="auto"/>
        <w:jc w:val="both"/>
        <w:rPr>
          <w:rFonts w:ascii="Georgia" w:eastAsia="Georgia" w:hAnsi="Georgia" w:cs="Georgia"/>
          <w:sz w:val="21"/>
          <w:szCs w:val="21"/>
        </w:rPr>
      </w:pPr>
    </w:p>
    <w:p w14:paraId="4F6587F1" w14:textId="77777777" w:rsidR="008409E4" w:rsidRDefault="00000000" w:rsidP="00B60610">
      <w:pPr>
        <w:spacing w:after="90" w:line="283" w:lineRule="auto"/>
        <w:jc w:val="both"/>
        <w:rPr>
          <w:rFonts w:ascii="Georgia" w:eastAsia="Georgia" w:hAnsi="Georgia" w:cs="Georgia"/>
          <w:b/>
          <w:bCs/>
          <w:color w:val="50634D"/>
        </w:rPr>
      </w:pPr>
      <w:r>
        <w:rPr>
          <w:rFonts w:ascii="Georgia" w:eastAsia="Georgia" w:hAnsi="Georgia" w:cs="Georgia"/>
          <w:b/>
          <w:bCs/>
          <w:color w:val="50634D"/>
        </w:rPr>
        <w:t>10.3 Scourge marks</w:t>
      </w:r>
    </w:p>
    <w:p w14:paraId="051D0458" w14:textId="77777777" w:rsidR="008409E4" w:rsidRDefault="008409E4" w:rsidP="00B60610">
      <w:pPr>
        <w:spacing w:after="90" w:line="283" w:lineRule="auto"/>
        <w:jc w:val="both"/>
        <w:rPr>
          <w:rFonts w:ascii="Georgia" w:eastAsia="Georgia" w:hAnsi="Georgia" w:cs="Georgia"/>
          <w:sz w:val="21"/>
          <w:szCs w:val="21"/>
        </w:rPr>
      </w:pPr>
    </w:p>
    <w:p w14:paraId="453C44A3"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Small bounded scourge marks are often cited as clot imprints. Their number, repeated morphology, and limited diffusion are compatible with contact transfer from multiple wounds, but a template-based artistic method is an alternative. Serum-edge frequency across a statistically defined sample of scourge marks would be highly informative: a distribution tied to wound orientation and local gravity would favor biological formation over uniform application.</w:t>
      </w:r>
    </w:p>
    <w:p w14:paraId="3422028C" w14:textId="77777777" w:rsidR="008409E4" w:rsidRDefault="008409E4" w:rsidP="00B60610">
      <w:pPr>
        <w:spacing w:after="90" w:line="283" w:lineRule="auto"/>
        <w:jc w:val="both"/>
        <w:rPr>
          <w:rFonts w:ascii="Georgia" w:eastAsia="Georgia" w:hAnsi="Georgia" w:cs="Georgia"/>
          <w:sz w:val="21"/>
          <w:szCs w:val="21"/>
        </w:rPr>
      </w:pPr>
    </w:p>
    <w:p w14:paraId="17C88CD4" w14:textId="77777777" w:rsidR="008409E4" w:rsidRDefault="00000000" w:rsidP="00B60610">
      <w:pPr>
        <w:spacing w:after="90" w:line="283" w:lineRule="auto"/>
        <w:jc w:val="both"/>
        <w:rPr>
          <w:rFonts w:ascii="Georgia" w:eastAsia="Georgia" w:hAnsi="Georgia" w:cs="Georgia"/>
          <w:b/>
          <w:bCs/>
          <w:color w:val="50634D"/>
        </w:rPr>
      </w:pPr>
      <w:r>
        <w:rPr>
          <w:rFonts w:ascii="Georgia" w:eastAsia="Georgia" w:hAnsi="Georgia" w:cs="Georgia"/>
          <w:b/>
          <w:bCs/>
          <w:color w:val="50634D"/>
        </w:rPr>
        <w:t>10.4 Head wounds</w:t>
      </w:r>
    </w:p>
    <w:p w14:paraId="03CF5DF0" w14:textId="77777777" w:rsidR="008409E4" w:rsidRDefault="008409E4" w:rsidP="00B60610">
      <w:pPr>
        <w:spacing w:after="90" w:line="283" w:lineRule="auto"/>
        <w:jc w:val="both"/>
        <w:rPr>
          <w:rFonts w:ascii="Georgia" w:eastAsia="Georgia" w:hAnsi="Georgia" w:cs="Georgia"/>
          <w:sz w:val="21"/>
          <w:szCs w:val="21"/>
        </w:rPr>
      </w:pPr>
    </w:p>
    <w:p w14:paraId="2BA90807" w14:textId="51044E38"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Scalp blood is abundant because of rich vascularity. Multiple punctures can produce overlapping flows that continue after a victim changes position. Clot transfer from hair-bearing skin differs from bare skin because hair stores blood, creates capillary channels, and prevents uniform cloth contact. Any realistic reconstruction must use hair, not a smooth mannequin.</w:t>
      </w:r>
    </w:p>
    <w:p w14:paraId="0EA5CB9D" w14:textId="77777777" w:rsidR="008409E4" w:rsidRDefault="00000000" w:rsidP="00B60610">
      <w:pPr>
        <w:pStyle w:val="Ttulo1"/>
        <w:spacing w:after="90" w:line="283" w:lineRule="auto"/>
        <w:jc w:val="both"/>
        <w:rPr>
          <w:rFonts w:ascii="Georgia" w:eastAsia="Georgia" w:hAnsi="Georgia" w:cs="Georgia"/>
          <w:b/>
          <w:bCs/>
          <w:color w:val="6B2124"/>
          <w:sz w:val="28"/>
          <w:szCs w:val="28"/>
        </w:rPr>
      </w:pPr>
      <w:bookmarkStart w:id="16" w:name="_cue7svwly6l6" w:colFirst="0" w:colLast="0"/>
      <w:bookmarkEnd w:id="16"/>
      <w:r>
        <w:rPr>
          <w:rFonts w:ascii="Georgia" w:eastAsia="Georgia" w:hAnsi="Georgia" w:cs="Georgia"/>
          <w:b/>
          <w:bCs/>
          <w:color w:val="6B2124"/>
          <w:sz w:val="28"/>
          <w:szCs w:val="28"/>
        </w:rPr>
        <w:t>11. A FALSIFIABLE EXPERIMENTAL PROGRAM</w:t>
      </w:r>
    </w:p>
    <w:p w14:paraId="0980FC10" w14:textId="77777777" w:rsidR="008409E4" w:rsidRDefault="008409E4" w:rsidP="00B60610">
      <w:pPr>
        <w:spacing w:after="90" w:line="283" w:lineRule="auto"/>
        <w:jc w:val="both"/>
        <w:rPr>
          <w:rFonts w:ascii="Georgia" w:eastAsia="Georgia" w:hAnsi="Georgia" w:cs="Georgia"/>
          <w:sz w:val="21"/>
          <w:szCs w:val="21"/>
        </w:rPr>
      </w:pPr>
    </w:p>
    <w:p w14:paraId="3452A3DE"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The composite wrist model is a working hypothesis and is scientifically valuable only if it can be disproved. A modern study should be preregistered, blinded where possible, and designed to reproduce both visible and UV morphology, not merely a visually suggestive red streak.</w:t>
      </w:r>
    </w:p>
    <w:p w14:paraId="61653C03" w14:textId="77777777" w:rsidR="008409E4" w:rsidRDefault="008409E4" w:rsidP="00B60610">
      <w:pPr>
        <w:spacing w:after="90" w:line="283" w:lineRule="auto"/>
        <w:jc w:val="both"/>
        <w:rPr>
          <w:rFonts w:ascii="Georgia" w:eastAsia="Georgia" w:hAnsi="Georgia" w:cs="Georgia"/>
          <w:sz w:val="21"/>
          <w:szCs w:val="21"/>
        </w:rPr>
      </w:pPr>
    </w:p>
    <w:p w14:paraId="03BC1A0F"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1. Create anatomically realistic wrist wound phantoms using human cadaveric tissue where ethically available, or validated porcine skin and vascular channels. Compare square-section and round-section nail tracts without assuming in advance which is historical.</w:t>
      </w:r>
    </w:p>
    <w:p w14:paraId="62405231" w14:textId="77777777" w:rsidR="008409E4" w:rsidRDefault="008409E4" w:rsidP="00B60610">
      <w:pPr>
        <w:spacing w:after="90" w:line="283" w:lineRule="auto"/>
        <w:jc w:val="both"/>
        <w:rPr>
          <w:rFonts w:ascii="Georgia" w:eastAsia="Georgia" w:hAnsi="Georgia" w:cs="Georgia"/>
          <w:sz w:val="21"/>
          <w:szCs w:val="21"/>
        </w:rPr>
      </w:pPr>
    </w:p>
    <w:p w14:paraId="589E0A1A"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 xml:space="preserve">2. Use human blood under controlled hematocrit, platelet count, coagulation status, and fibrinolytic state. Include normal blood, anticoagulated blood, hyperfibrinolytic blood, hemolysed blood, and blood mixed with defined serum or interstitial-fluid analogues.</w:t>
      </w:r>
    </w:p>
    <w:p w14:paraId="41F65B4A" w14:textId="77777777" w:rsidR="008409E4" w:rsidRDefault="008409E4" w:rsidP="00B60610">
      <w:pPr>
        <w:spacing w:after="90" w:line="283" w:lineRule="auto"/>
        <w:jc w:val="both"/>
        <w:rPr>
          <w:rFonts w:ascii="Georgia" w:eastAsia="Georgia" w:hAnsi="Georgia" w:cs="Georgia"/>
          <w:sz w:val="21"/>
          <w:szCs w:val="21"/>
        </w:rPr>
      </w:pPr>
    </w:p>
    <w:p w14:paraId="2319098A"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3. Generate a premortem analogue phase under controlled hydrostatic pressure, then terminate pressure and introduce a postmortem phase. Remove the nail at defined intervals and document passive discharge during standardized movements.</w:t>
      </w:r>
    </w:p>
    <w:p w14:paraId="128FBCF1" w14:textId="77777777" w:rsidR="008409E4" w:rsidRDefault="008409E4" w:rsidP="00B60610">
      <w:pPr>
        <w:spacing w:after="90" w:line="283" w:lineRule="auto"/>
        <w:jc w:val="both"/>
        <w:rPr>
          <w:rFonts w:ascii="Georgia" w:eastAsia="Georgia" w:hAnsi="Georgia" w:cs="Georgia"/>
          <w:sz w:val="21"/>
          <w:szCs w:val="21"/>
        </w:rPr>
      </w:pPr>
    </w:p>
    <w:p w14:paraId="2F5019CE"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4. Test burial intervals from 30 minutes to 6 hours and environmental matrices spanning 10–22 °C and 50–100% RH. Record actual water activity and dew point at the skin-linen interface.</w:t>
      </w:r>
    </w:p>
    <w:p w14:paraId="2EFACCC7" w14:textId="77777777" w:rsidR="008409E4" w:rsidRDefault="008409E4" w:rsidP="00B60610">
      <w:pPr>
        <w:spacing w:after="90" w:line="283" w:lineRule="auto"/>
        <w:jc w:val="both"/>
        <w:rPr>
          <w:rFonts w:ascii="Georgia" w:eastAsia="Georgia" w:hAnsi="Georgia" w:cs="Georgia"/>
          <w:sz w:val="21"/>
          <w:szCs w:val="21"/>
        </w:rPr>
      </w:pPr>
    </w:p>
    <w:p w14:paraId="668EB912"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5. Use historically plausible handwoven linen with characterized yarn twist, weave density, finish, detergent history, and surface sizing. Modern commercial linen can differ substantially in capillarity.</w:t>
      </w:r>
    </w:p>
    <w:p w14:paraId="0C5ECC05" w14:textId="77777777" w:rsidR="008409E4" w:rsidRDefault="008409E4" w:rsidP="00B60610">
      <w:pPr>
        <w:spacing w:after="90" w:line="283" w:lineRule="auto"/>
        <w:jc w:val="both"/>
        <w:rPr>
          <w:rFonts w:ascii="Georgia" w:eastAsia="Georgia" w:hAnsi="Georgia" w:cs="Georgia"/>
          <w:sz w:val="21"/>
          <w:szCs w:val="21"/>
        </w:rPr>
      </w:pPr>
    </w:p>
    <w:p w14:paraId="2BC5A58C"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6. Apply the cloth with controlled drape, pressure, shear, and contact duration. Compare no pressure, cloth weight alone, wrapping tension, and localized hand pressure.</w:t>
      </w:r>
    </w:p>
    <w:p w14:paraId="586CBB82" w14:textId="77777777" w:rsidR="008409E4" w:rsidRDefault="008409E4" w:rsidP="00B60610">
      <w:pPr>
        <w:spacing w:after="90" w:line="283" w:lineRule="auto"/>
        <w:jc w:val="both"/>
        <w:rPr>
          <w:rFonts w:ascii="Georgia" w:eastAsia="Georgia" w:hAnsi="Georgia" w:cs="Georgia"/>
          <w:sz w:val="21"/>
          <w:szCs w:val="21"/>
        </w:rPr>
      </w:pPr>
    </w:p>
    <w:p w14:paraId="5E624749"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7. Include matched untreated, fire-exposed, smoke-exposed, water-damaged, and combined heat-plus-water linen controls, then acquire calibrated visible reflectance, 365 nm UV fluorescence, multispectral, hyperspectral, Raman, FTIR, XRF, and microscopic images. Quantify edge sharpness, fluorescence width, cell-rich core width, penetration depth, yarn-level anisotropy, protein redistribution, heme products, iron oxide, and cellulose-alteration signals. Reproduce plausible thermal and wet-dry ranges without assuming that the 1532 event produced one uniform effect.</w:t>
      </w:r>
    </w:p>
    <w:p w14:paraId="7B55AC49" w14:textId="77777777" w:rsidR="008409E4" w:rsidRDefault="008409E4" w:rsidP="00B60610">
      <w:pPr>
        <w:spacing w:after="90" w:line="283" w:lineRule="auto"/>
        <w:jc w:val="both"/>
        <w:rPr>
          <w:rFonts w:ascii="Georgia" w:eastAsia="Georgia" w:hAnsi="Georgia" w:cs="Georgia"/>
          <w:sz w:val="21"/>
          <w:szCs w:val="21"/>
        </w:rPr>
      </w:pPr>
    </w:p>
    <w:p w14:paraId="20BF5486"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8. Predefine image and chemical features, train classifiers only on designated development samples, and evaluate them on a locked, blinded test set. Use nested cross-validation or an equivalent leakage-resistant procedure, report calibration and class-specific error rates, and compare performance with simple interpretable baselines. The analysis should classify mixed stains as mixed rather than merely distinguish blood from paint; the specific algorithm should be selected after pilot data establish the structure and size of the dataset.</w:t>
      </w:r>
    </w:p>
    <w:p w14:paraId="671A50A6" w14:textId="77777777" w:rsidR="008409E4" w:rsidRDefault="008409E4" w:rsidP="00B60610">
      <w:pPr>
        <w:spacing w:after="90" w:line="283" w:lineRule="auto"/>
        <w:jc w:val="both"/>
        <w:rPr>
          <w:rFonts w:ascii="Georgia" w:eastAsia="Georgia" w:hAnsi="Georgia" w:cs="Georgia"/>
          <w:sz w:val="21"/>
          <w:szCs w:val="21"/>
        </w:rPr>
      </w:pPr>
    </w:p>
    <w:p w14:paraId="7794E471"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 xml:space="preserve">9. Compare experimental maps with the original high-resolution Miller-Pellicori UV transparencies, not low-resolution digital reproductions of unknown provenance. Correct for film response, aging, illumination nonuniformity, and digitization.</w:t>
      </w:r>
    </w:p>
    <w:p w14:paraId="260CB1B9" w14:textId="77777777" w:rsidR="008409E4" w:rsidRDefault="008409E4" w:rsidP="00B60610">
      <w:pPr>
        <w:spacing w:after="90" w:line="283" w:lineRule="auto"/>
        <w:jc w:val="both"/>
        <w:rPr>
          <w:rFonts w:ascii="Georgia" w:eastAsia="Georgia" w:hAnsi="Georgia" w:cs="Georgia"/>
          <w:sz w:val="21"/>
          <w:szCs w:val="21"/>
        </w:rPr>
      </w:pPr>
    </w:p>
    <w:p w14:paraId="500AC49F"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10. Conduct an initial pilot phase to estimate variance, effect sizes, failure rates, and the most informative primary endpoints. Use those pilot estimates to justify sample size and statistical power for the confirmatory phase rather than assigning unsupported replicate numbers in advance. Publish all raw images, environmental logs, negative results, analysis code, and prespecified exclusions. Independent laboratories should repeat the protocol.</w:t>
      </w:r>
    </w:p>
    <w:p w14:paraId="4825ED5D" w14:textId="77777777" w:rsidR="008409E4" w:rsidRDefault="008409E4" w:rsidP="00B60610">
      <w:pPr>
        <w:spacing w:after="90" w:line="283" w:lineRule="auto"/>
        <w:jc w:val="both"/>
        <w:rPr>
          <w:rFonts w:ascii="Georgia" w:eastAsia="Georgia" w:hAnsi="Georgia" w:cs="Georgia"/>
          <w:sz w:val="21"/>
          <w:szCs w:val="21"/>
        </w:rPr>
      </w:pPr>
    </w:p>
    <w:p w14:paraId="720FEE4F" w14:textId="77777777" w:rsidR="008409E4" w:rsidRDefault="00000000" w:rsidP="00B60610">
      <w:pPr>
        <w:spacing w:after="90" w:line="283" w:lineRule="auto"/>
        <w:jc w:val="both"/>
        <w:rPr>
          <w:rFonts w:ascii="Georgia" w:eastAsia="Georgia" w:hAnsi="Georgia" w:cs="Georgia"/>
          <w:b/>
          <w:bCs/>
          <w:color w:val="50634D"/>
        </w:rPr>
      </w:pPr>
      <w:r>
        <w:rPr>
          <w:rFonts w:ascii="Georgia" w:eastAsia="Georgia" w:hAnsi="Georgia" w:cs="Georgia"/>
          <w:b/>
          <w:bCs/>
          <w:color w:val="50634D"/>
        </w:rPr>
        <w:t>11.1 Proposed decision criteria</w:t>
      </w:r>
    </w:p>
    <w:p w14:paraId="6836519F" w14:textId="77777777" w:rsidR="008409E4" w:rsidRDefault="008409E4" w:rsidP="00B60610">
      <w:pPr>
        <w:spacing w:after="90" w:line="283" w:lineRule="auto"/>
        <w:jc w:val="both"/>
        <w:rPr>
          <w:rFonts w:ascii="Georgia" w:eastAsia="Georgia" w:hAnsi="Georgia" w:cs="Georgia"/>
          <w:sz w:val="21"/>
          <w:szCs w:val="21"/>
        </w:rPr>
      </w:pPr>
    </w:p>
    <w:p w14:paraId="06E62399"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 xml:space="preserve">• Clot-associated component: a fluorescent, protein-rich peripheral zone linked to a bounded cellular core, reproduced most consistently after natural coagulation and clot retraction, and distinguishable—where </w:t>
        <w:lastRenderedPageBreak/>
        <w:t>possible—from sequential serum, plasma, pleural fluid, water, binder, or whole-blood applications through chemistry, spatial gradients, and blind classification.</w:t>
      </w:r>
    </w:p>
    <w:p w14:paraId="45F04819" w14:textId="77777777" w:rsidR="008409E4" w:rsidRDefault="008409E4" w:rsidP="00B60610">
      <w:pPr>
        <w:spacing w:after="90" w:line="283" w:lineRule="auto"/>
        <w:jc w:val="both"/>
        <w:rPr>
          <w:rFonts w:ascii="Georgia" w:eastAsia="Georgia" w:hAnsi="Georgia" w:cs="Georgia"/>
          <w:sz w:val="21"/>
          <w:szCs w:val="21"/>
        </w:rPr>
      </w:pPr>
    </w:p>
    <w:p w14:paraId="2E0AC4AB"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 xml:space="preserve">• Postmortem component: superposed directional flow produced after nail removal without a new peripheral halo, with chemistry consistent with fibrinolysed blood.</w:t>
      </w:r>
    </w:p>
    <w:p w14:paraId="6E27A8F0" w14:textId="77777777" w:rsidR="008409E4" w:rsidRDefault="008409E4" w:rsidP="00B60610">
      <w:pPr>
        <w:spacing w:after="90" w:line="283" w:lineRule="auto"/>
        <w:jc w:val="both"/>
        <w:rPr>
          <w:rFonts w:ascii="Georgia" w:eastAsia="Georgia" w:hAnsi="Georgia" w:cs="Georgia"/>
          <w:sz w:val="21"/>
          <w:szCs w:val="21"/>
        </w:rPr>
      </w:pPr>
    </w:p>
    <w:p w14:paraId="0288F0B5"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 Humidity component: transfer after a delay impossible under low RH but restored under high RH, with edges and pattern that closely reproduce the original stain [10].</w:t>
      </w:r>
    </w:p>
    <w:p w14:paraId="5A870A6C" w14:textId="77777777" w:rsidR="008409E4" w:rsidRDefault="008409E4" w:rsidP="00B60610">
      <w:pPr>
        <w:spacing w:after="90" w:line="283" w:lineRule="auto"/>
        <w:jc w:val="both"/>
        <w:rPr>
          <w:rFonts w:ascii="Georgia" w:eastAsia="Georgia" w:hAnsi="Georgia" w:cs="Georgia"/>
          <w:sz w:val="21"/>
          <w:szCs w:val="21"/>
        </w:rPr>
      </w:pPr>
    </w:p>
    <w:p w14:paraId="01A571B5" w14:textId="2D39A39F"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 Artistic-control component: blood, serum, pigment, and binder applications made by trained artists using premodern tools, evaluated blindly against biological transfers. To our knowledge no controlled, peer-reviewed study has yet systematically compared artistic applications with biological transfers using modern analytical methods and blinded classification; the proposed program would be the first systematic test of this kind.</w:t>
      </w:r>
    </w:p>
    <w:p w14:paraId="4307EF84" w14:textId="77777777" w:rsidR="008409E4" w:rsidRDefault="00000000" w:rsidP="00B60610">
      <w:pPr>
        <w:pStyle w:val="Ttulo1"/>
        <w:spacing w:after="90" w:line="283" w:lineRule="auto"/>
        <w:jc w:val="both"/>
        <w:rPr>
          <w:rFonts w:ascii="Georgia" w:eastAsia="Georgia" w:hAnsi="Georgia" w:cs="Georgia"/>
          <w:b/>
          <w:bCs/>
          <w:color w:val="6B2124"/>
          <w:sz w:val="28"/>
          <w:szCs w:val="28"/>
        </w:rPr>
      </w:pPr>
      <w:bookmarkStart w:id="17" w:name="_tmpwuxqfgglv" w:colFirst="0" w:colLast="0"/>
      <w:bookmarkEnd w:id="17"/>
      <w:r>
        <w:rPr>
          <w:rFonts w:ascii="Georgia" w:eastAsia="Georgia" w:hAnsi="Georgia" w:cs="Georgia"/>
          <w:b/>
          <w:bCs/>
          <w:color w:val="6B2124"/>
          <w:sz w:val="28"/>
          <w:szCs w:val="28"/>
        </w:rPr>
        <w:t>12. RECOMMENDED NEW TESTING OF THE SHROUD</w:t>
      </w:r>
    </w:p>
    <w:p w14:paraId="227C6EBA" w14:textId="77777777" w:rsidR="008409E4" w:rsidRDefault="008409E4" w:rsidP="00B60610">
      <w:pPr>
        <w:spacing w:after="90" w:line="283" w:lineRule="auto"/>
        <w:jc w:val="both"/>
        <w:rPr>
          <w:rFonts w:ascii="Georgia" w:eastAsia="Georgia" w:hAnsi="Georgia" w:cs="Georgia"/>
          <w:sz w:val="21"/>
          <w:szCs w:val="21"/>
        </w:rPr>
      </w:pPr>
    </w:p>
    <w:p w14:paraId="1AB0975C"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 xml:space="preserve">The highest priority is not another broad claim from legacy photographs, but a tightly controlled, minimally invasive investigation. Because the cloth is irreplaceable, the analytical sequence should move from noncontact to microdestructive methods.</w:t>
      </w:r>
    </w:p>
    <w:p w14:paraId="03AB6A55" w14:textId="77777777" w:rsidR="008409E4" w:rsidRDefault="008409E4" w:rsidP="00B60610">
      <w:pPr>
        <w:spacing w:after="90" w:line="283" w:lineRule="auto"/>
        <w:jc w:val="both"/>
        <w:rPr>
          <w:rFonts w:ascii="Georgia" w:eastAsia="Georgia" w:hAnsi="Georgia" w:cs="Georgia"/>
          <w:sz w:val="21"/>
          <w:szCs w:val="21"/>
        </w:rPr>
      </w:pPr>
    </w:p>
    <w:p w14:paraId="621B0469"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 Reimage the entire cloth using radiometrically calibrated 365 nm UV fluorescence, visible hyperspectral reflectance, fluorescence lifetime imaging where feasible, and macro-XRF mapping.</w:t>
      </w:r>
    </w:p>
    <w:p w14:paraId="41851F90" w14:textId="77777777" w:rsidR="008409E4" w:rsidRDefault="008409E4" w:rsidP="00B60610">
      <w:pPr>
        <w:spacing w:after="90" w:line="283" w:lineRule="auto"/>
        <w:jc w:val="both"/>
        <w:rPr>
          <w:rFonts w:ascii="Georgia" w:eastAsia="Georgia" w:hAnsi="Georgia" w:cs="Georgia"/>
          <w:sz w:val="21"/>
          <w:szCs w:val="21"/>
        </w:rPr>
      </w:pPr>
    </w:p>
    <w:p w14:paraId="2B18B4F9"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 Digitize the original 1978 UV transparencies at archival resolution with color standards and publish raw files.</w:t>
      </w:r>
    </w:p>
    <w:p w14:paraId="6DE3903E" w14:textId="77777777" w:rsidR="008409E4" w:rsidRDefault="008409E4" w:rsidP="00B60610">
      <w:pPr>
        <w:spacing w:after="90" w:line="283" w:lineRule="auto"/>
        <w:jc w:val="both"/>
        <w:rPr>
          <w:rFonts w:ascii="Georgia" w:eastAsia="Georgia" w:hAnsi="Georgia" w:cs="Georgia"/>
          <w:sz w:val="21"/>
          <w:szCs w:val="21"/>
        </w:rPr>
      </w:pPr>
    </w:p>
    <w:p w14:paraId="4E2187EB"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 Map serum-edge prevalence across all wound classes using blinded segmentation and report both positive and negative marks.</w:t>
      </w:r>
    </w:p>
    <w:p w14:paraId="776823B3" w14:textId="77777777" w:rsidR="008409E4" w:rsidRDefault="008409E4" w:rsidP="00B60610">
      <w:pPr>
        <w:spacing w:after="90" w:line="283" w:lineRule="auto"/>
        <w:jc w:val="both"/>
        <w:rPr>
          <w:rFonts w:ascii="Georgia" w:eastAsia="Georgia" w:hAnsi="Georgia" w:cs="Georgia"/>
          <w:sz w:val="21"/>
          <w:szCs w:val="21"/>
        </w:rPr>
      </w:pPr>
    </w:p>
    <w:p w14:paraId="712E885B"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 Perform label-free Raman and FTIR mapping to distinguish heme derivatives, protein, iron oxide, vermilion, binder, and cellulose alteration at the same coordinates.</w:t>
      </w:r>
    </w:p>
    <w:p w14:paraId="2131EE7E" w14:textId="77777777" w:rsidR="008409E4" w:rsidRDefault="008409E4" w:rsidP="00B60610">
      <w:pPr>
        <w:spacing w:after="90" w:line="283" w:lineRule="auto"/>
        <w:jc w:val="both"/>
        <w:rPr>
          <w:rFonts w:ascii="Georgia" w:eastAsia="Georgia" w:hAnsi="Georgia" w:cs="Georgia"/>
          <w:sz w:val="21"/>
          <w:szCs w:val="21"/>
        </w:rPr>
      </w:pPr>
    </w:p>
    <w:p w14:paraId="13970CC0"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 If sampling is permitted, use nanogram-scale LC-MS/MS proteomics with extraction blanks, linen controls, laboratory contamination databases, and independent replication. Species assignment must rely on multiple unique peptides, not cross-reactive antibodies alone.</w:t>
      </w:r>
    </w:p>
    <w:p w14:paraId="24D0E556" w14:textId="77777777" w:rsidR="008409E4" w:rsidRDefault="008409E4" w:rsidP="00B60610">
      <w:pPr>
        <w:spacing w:after="90" w:line="283" w:lineRule="auto"/>
        <w:jc w:val="both"/>
        <w:rPr>
          <w:rFonts w:ascii="Georgia" w:eastAsia="Georgia" w:hAnsi="Georgia" w:cs="Georgia"/>
          <w:sz w:val="21"/>
          <w:szCs w:val="21"/>
        </w:rPr>
      </w:pPr>
    </w:p>
    <w:p w14:paraId="7CFAE7EF"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 Use targeted assays for fibrin, fibrin degradation products, albumin, immunoglobulins, glycophorin, hemoglobin subunits, and bilirubin-related products, while recognizing age-related chemical modification.</w:t>
      </w:r>
    </w:p>
    <w:p w14:paraId="40A0B7E8" w14:textId="77777777" w:rsidR="008409E4" w:rsidRDefault="008409E4" w:rsidP="00B60610">
      <w:pPr>
        <w:spacing w:after="90" w:line="283" w:lineRule="auto"/>
        <w:jc w:val="both"/>
        <w:rPr>
          <w:rFonts w:ascii="Georgia" w:eastAsia="Georgia" w:hAnsi="Georgia" w:cs="Georgia"/>
          <w:sz w:val="21"/>
          <w:szCs w:val="21"/>
        </w:rPr>
      </w:pPr>
    </w:p>
    <w:p w14:paraId="79F19961" w14:textId="1746C61C"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lastRenderedPageBreak/>
        <w:t>• Avoid categorical ABO, sex, ancestry, or trauma claims unless methods are validated on comparably aged bloodstains and contamination is explicitly modeled.</w:t>
      </w:r>
    </w:p>
    <w:p w14:paraId="449624BC" w14:textId="77777777" w:rsidR="008409E4" w:rsidRDefault="00000000" w:rsidP="00B60610">
      <w:pPr>
        <w:pStyle w:val="Ttulo1"/>
        <w:spacing w:after="90" w:line="283" w:lineRule="auto"/>
        <w:jc w:val="both"/>
        <w:rPr>
          <w:rFonts w:ascii="Georgia" w:eastAsia="Georgia" w:hAnsi="Georgia" w:cs="Georgia"/>
          <w:b/>
          <w:bCs/>
          <w:color w:val="6B2124"/>
          <w:sz w:val="28"/>
          <w:szCs w:val="28"/>
        </w:rPr>
      </w:pPr>
      <w:bookmarkStart w:id="18" w:name="_p4qe49nd8ej6" w:colFirst="0" w:colLast="0"/>
      <w:bookmarkEnd w:id="18"/>
      <w:r>
        <w:rPr>
          <w:rFonts w:ascii="Georgia" w:eastAsia="Georgia" w:hAnsi="Georgia" w:cs="Georgia"/>
          <w:b/>
          <w:bCs/>
          <w:color w:val="6B2124"/>
          <w:sz w:val="28"/>
          <w:szCs w:val="28"/>
        </w:rPr>
        <w:t>13. OVERALL SCIENTIFIC ASSESSMENT</w:t>
      </w:r>
    </w:p>
    <w:p w14:paraId="4F0C1BEF" w14:textId="77777777" w:rsidR="008409E4" w:rsidRDefault="008409E4" w:rsidP="00B60610">
      <w:pPr>
        <w:spacing w:after="90" w:line="283" w:lineRule="auto"/>
        <w:jc w:val="both"/>
        <w:rPr>
          <w:rFonts w:ascii="Georgia" w:eastAsia="Georgia" w:hAnsi="Georgia" w:cs="Georgia"/>
          <w:sz w:val="21"/>
          <w:szCs w:val="21"/>
        </w:rPr>
      </w:pPr>
    </w:p>
    <w:p w14:paraId="1E987F49" w14:textId="77777777" w:rsidR="008409E4" w:rsidRDefault="00000000" w:rsidP="00B60610">
      <w:pPr>
        <w:spacing w:after="90" w:line="283" w:lineRule="auto"/>
        <w:jc w:val="both"/>
        <w:rPr>
          <w:rFonts w:ascii="Georgia" w:eastAsia="Georgia" w:hAnsi="Georgia" w:cs="Georgia"/>
          <w:b/>
          <w:bCs/>
          <w:color w:val="50634D"/>
        </w:rPr>
      </w:pPr>
      <w:r>
        <w:rPr>
          <w:rFonts w:ascii="Georgia" w:eastAsia="Georgia" w:hAnsi="Georgia" w:cs="Georgia"/>
          <w:b/>
          <w:bCs/>
          <w:color w:val="50634D"/>
        </w:rPr>
        <w:t>13.1 What the composite model can explain</w:t>
      </w:r>
    </w:p>
    <w:p w14:paraId="5B57D6BB" w14:textId="77777777" w:rsidR="008409E4" w:rsidRDefault="008409E4" w:rsidP="00B60610">
      <w:pPr>
        <w:spacing w:after="90" w:line="283" w:lineRule="auto"/>
        <w:jc w:val="both"/>
        <w:rPr>
          <w:rFonts w:ascii="Georgia" w:eastAsia="Georgia" w:hAnsi="Georgia" w:cs="Georgia"/>
          <w:sz w:val="21"/>
          <w:szCs w:val="21"/>
        </w:rPr>
      </w:pPr>
    </w:p>
    <w:p w14:paraId="53D59B26"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The wrist mark is consistent with a wound that bled during life, developed a clot with serum separation, and later emitted passive postmortem blood when mechanically disturbed. Humidity can extend or restore the transfer window. This integrated sequence explains why one region might contain a partial serum halo and a fresher-looking flow without contradiction. It also predicts a mixture of halo-positive and halo-negative subregions, which is broadly concordant with the ultraviolet record.</w:t>
      </w:r>
    </w:p>
    <w:p w14:paraId="44ADEB21" w14:textId="77777777" w:rsidR="008409E4" w:rsidRDefault="008409E4" w:rsidP="00B60610">
      <w:pPr>
        <w:spacing w:after="90" w:line="283" w:lineRule="auto"/>
        <w:jc w:val="both"/>
        <w:rPr>
          <w:rFonts w:ascii="Georgia" w:eastAsia="Georgia" w:hAnsi="Georgia" w:cs="Georgia"/>
          <w:sz w:val="21"/>
          <w:szCs w:val="21"/>
        </w:rPr>
      </w:pPr>
    </w:p>
    <w:p w14:paraId="5F222129" w14:textId="77777777" w:rsidR="008409E4" w:rsidRDefault="00000000" w:rsidP="00B60610">
      <w:pPr>
        <w:spacing w:after="90" w:line="283" w:lineRule="auto"/>
        <w:jc w:val="both"/>
        <w:rPr>
          <w:rFonts w:ascii="Georgia" w:eastAsia="Georgia" w:hAnsi="Georgia" w:cs="Georgia"/>
          <w:b/>
          <w:bCs/>
          <w:color w:val="50634D"/>
        </w:rPr>
      </w:pPr>
      <w:r>
        <w:rPr>
          <w:rFonts w:ascii="Georgia" w:eastAsia="Georgia" w:hAnsi="Georgia" w:cs="Georgia"/>
          <w:b/>
          <w:bCs/>
          <w:color w:val="50634D"/>
        </w:rPr>
        <w:t>13.2 What it does not prove</w:t>
      </w:r>
    </w:p>
    <w:p w14:paraId="3B5F095F" w14:textId="77777777" w:rsidR="008409E4" w:rsidRDefault="008409E4" w:rsidP="00B60610">
      <w:pPr>
        <w:spacing w:after="90" w:line="283" w:lineRule="auto"/>
        <w:jc w:val="both"/>
        <w:rPr>
          <w:rFonts w:ascii="Georgia" w:eastAsia="Georgia" w:hAnsi="Georgia" w:cs="Georgia"/>
          <w:sz w:val="21"/>
          <w:szCs w:val="21"/>
        </w:rPr>
      </w:pPr>
    </w:p>
    <w:p w14:paraId="47F7556E"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The pattern does not prove death by asphyxia, does not identify the individual, does not establish the date of the cloth, and does not exclude every artistic or ritual manipulation involving genuine blood. A forger using blood and serum could in principle create complex marks, although doing so with correct hidden ultraviolet behavior, spatial chronology, reported textile-deposition behavior, and anatomical coherence would be more demanding than simple painting. No known controlled reproduction has yet been reported that reproduces all these properties simultaneously, but the absence of such a report must not be confused with demonstrated impossibility. The evidential force lies in a conjunction of partly independent properties: ultraviolet behavior probes fluid-phase separation; chemical assays probe hematic constituents; and anatomical distribution probes spatial placement. Reported yarn- and fibril-level penetration observations remain legacy data; if confirmed by modern confocal microscopy or calibrated cross-sectional imaging on securely provenanced fibers, they would provide an additional probe of transfer physics. These properties are not fully independent, because contamination, handling, or deliberate use of genuine blood could affect several of them at once and therefore remain shared confounds.</w:t>
      </w:r>
    </w:p>
    <w:p w14:paraId="76954795" w14:textId="77777777" w:rsidR="008409E4" w:rsidRDefault="008409E4" w:rsidP="00B60610">
      <w:pPr>
        <w:spacing w:after="90" w:line="283" w:lineRule="auto"/>
        <w:jc w:val="both"/>
        <w:rPr>
          <w:rFonts w:ascii="Georgia" w:eastAsia="Georgia" w:hAnsi="Georgia" w:cs="Georgia"/>
          <w:sz w:val="21"/>
          <w:szCs w:val="21"/>
        </w:rPr>
      </w:pPr>
    </w:p>
    <w:p w14:paraId="57E80B2D" w14:textId="77777777" w:rsidR="008409E4" w:rsidRDefault="00000000" w:rsidP="00B60610">
      <w:pPr>
        <w:keepNext/>
        <w:spacing w:after="90" w:line="283" w:lineRule="auto"/>
        <w:jc w:val="both"/>
        <w:rPr>
          <w:rFonts w:ascii="Georgia" w:eastAsia="Georgia" w:hAnsi="Georgia" w:cs="Georgia"/>
          <w:b/>
          <w:bCs/>
          <w:color w:val="50634D"/>
        </w:rPr>
      </w:pPr>
      <w:r>
        <w:rPr>
          <w:rFonts w:ascii="Georgia" w:eastAsia="Georgia" w:hAnsi="Georgia" w:cs="Georgia"/>
          <w:b/>
          <w:bCs/>
          <w:color w:val="50634D"/>
        </w:rPr>
        <w:t>13.2.1 What blood evidence cannot establish</w:t>
      </w:r>
    </w:p>
    <w:p w14:paraId="7C01947C" w14:textId="77777777" w:rsidR="008409E4" w:rsidRDefault="00000000" w:rsidP="00B60610">
      <w:pPr>
        <w:spacing w:after="90" w:line="283" w:lineRule="auto"/>
        <w:jc w:val="both"/>
        <w:rPr>
          <w:rFonts w:ascii="Georgia" w:eastAsia="Georgia" w:hAnsi="Georgia" w:cs="Georgia"/>
          <w:color w:val="50634D"/>
          <w:sz w:val="21"/>
          <w:szCs w:val="21"/>
        </w:rPr>
      </w:pPr>
      <w:r>
        <w:rPr>
          <w:rFonts w:ascii="Georgia" w:eastAsia="Georgia" w:hAnsi="Georgia" w:cs="Georgia"/>
          <w:color w:val="50634D"/>
          <w:sz w:val="21"/>
          <w:szCs w:val="21"/>
        </w:rPr>
        <w:t>Even a secure demonstration of genuine blood, serum-associated proteins, fibrin, or mixed deposition phases would not by itself establish when the material was applied, whether it was transferred directly from a body, or whether the cloth is historically authentic. A deliberate maker could in principle use genuine blood and separated serum sequentially, while later handling, ritual contact, fire, water, or contamination could modify an originally biological pattern. Blood chemistry therefore addresses composition and, when spatially resolved, may constrain transfer mechanism; it cannot independently determine identity, date, provenance, or religious attribution.</w:t>
      </w:r>
    </w:p>
    <w:p w14:paraId="63AA62C3" w14:textId="77777777" w:rsidR="008409E4" w:rsidRDefault="00000000" w:rsidP="00B60610">
      <w:pPr>
        <w:spacing w:after="90" w:line="283" w:lineRule="auto"/>
        <w:jc w:val="both"/>
        <w:rPr>
          <w:rFonts w:ascii="Georgia" w:eastAsia="Georgia" w:hAnsi="Georgia" w:cs="Georgia"/>
          <w:color w:val="50634D"/>
          <w:sz w:val="21"/>
          <w:szCs w:val="21"/>
        </w:rPr>
      </w:pPr>
      <w:r>
        <w:rPr>
          <w:rFonts w:ascii="Georgia" w:eastAsia="Georgia" w:hAnsi="Georgia" w:cs="Georgia"/>
          <w:color w:val="50634D"/>
          <w:sz w:val="21"/>
          <w:szCs w:val="21"/>
        </w:rPr>
        <w:t>Evidence favoring direct biological contact would have to arise from a conjunction of properties that is difficult for alternative mechanisms to reproduce: anatomically coherent distribution, internally consistent spatial chronology, natural fluid-phase gradients, wound-specific textile penetration, absence or localization of binder and tool marks, and agreement across calibrated UV, chemical, and microscopic maps. Even that conjunction would remain a likelihood argument requiring independent dating and provenance evidence.</w:t>
      </w:r>
    </w:p>
    <w:p w14:paraId="1A9BCDA6" w14:textId="77777777" w:rsidR="008409E4" w:rsidRDefault="008409E4" w:rsidP="00B60610">
      <w:pPr>
        <w:spacing w:after="90" w:line="283" w:lineRule="auto"/>
        <w:jc w:val="both"/>
        <w:rPr>
          <w:rFonts w:ascii="Georgia" w:eastAsia="Georgia" w:hAnsi="Georgia" w:cs="Georgia"/>
          <w:color w:val="50634D"/>
          <w:sz w:val="21"/>
          <w:szCs w:val="21"/>
        </w:rPr>
      </w:pPr>
    </w:p>
    <w:p w14:paraId="662D27FA" w14:textId="77777777" w:rsidR="008409E4" w:rsidRDefault="00000000" w:rsidP="00B60610">
      <w:pPr>
        <w:spacing w:after="90" w:line="283" w:lineRule="auto"/>
        <w:jc w:val="both"/>
        <w:rPr>
          <w:rFonts w:ascii="Georgia" w:eastAsia="Georgia" w:hAnsi="Georgia" w:cs="Georgia"/>
          <w:b/>
          <w:bCs/>
          <w:color w:val="50634D"/>
        </w:rPr>
      </w:pPr>
      <w:r>
        <w:rPr>
          <w:rFonts w:ascii="Georgia" w:eastAsia="Georgia" w:hAnsi="Georgia" w:cs="Georgia"/>
          <w:b/>
          <w:bCs/>
          <w:color w:val="50634D"/>
        </w:rPr>
        <w:lastRenderedPageBreak/>
        <w:t>13.3 Integrated biological model developed in this review</w:t>
      </w:r>
    </w:p>
    <w:p w14:paraId="6D639761" w14:textId="77777777" w:rsidR="008409E4" w:rsidRDefault="008409E4" w:rsidP="00B60610">
      <w:pPr>
        <w:spacing w:after="90" w:line="283" w:lineRule="auto"/>
        <w:jc w:val="both"/>
        <w:rPr>
          <w:rFonts w:ascii="Georgia" w:eastAsia="Georgia" w:hAnsi="Georgia" w:cs="Georgia"/>
          <w:sz w:val="21"/>
          <w:szCs w:val="21"/>
        </w:rPr>
      </w:pPr>
    </w:p>
    <w:p w14:paraId="1D18751D" w14:textId="112ACE42"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The integrated biological model developed in this review is multimodal transfer: (1) premortem blood flow and clot formation; (2) clot retraction with serum separation; (3) partial drying; (4) mechanical wound reopening and passive postmortem drainage during unnailing and handling; and (5) linen contact while moist or after humidity-mediated rehydration. Among the alternatives compared in Table 2, this model accounts for a wider combination of halo-positive and halo-negative morphology than either a pure wet-blood model or a pure postmortem-washing model. That comparative advantage is provisional and depends on predictions that have not yet been reproduced in one anatomically realistic experiment. The model should therefore be presented as a coherent working hypothesis, not as a solved forensic reconstruction.</w:t>
      </w:r>
    </w:p>
    <w:p w14:paraId="4E5198ED" w14:textId="77777777" w:rsidR="008409E4" w:rsidRDefault="00000000" w:rsidP="00B60610">
      <w:pPr>
        <w:pStyle w:val="Ttulo1"/>
        <w:spacing w:after="90" w:line="283" w:lineRule="auto"/>
        <w:jc w:val="both"/>
        <w:rPr>
          <w:rFonts w:ascii="Georgia" w:eastAsia="Georgia" w:hAnsi="Georgia" w:cs="Georgia"/>
          <w:b/>
          <w:bCs/>
          <w:color w:val="6B2124"/>
          <w:sz w:val="28"/>
          <w:szCs w:val="28"/>
        </w:rPr>
      </w:pPr>
      <w:bookmarkStart w:id="19" w:name="_pvs284xejxd1" w:colFirst="0" w:colLast="0"/>
      <w:bookmarkEnd w:id="19"/>
      <w:r>
        <w:rPr>
          <w:rFonts w:ascii="Georgia" w:eastAsia="Georgia" w:hAnsi="Georgia" w:cs="Georgia"/>
          <w:b/>
          <w:bCs/>
          <w:color w:val="6B2124"/>
          <w:sz w:val="28"/>
          <w:szCs w:val="28"/>
        </w:rPr>
        <w:t>CONCLUSION</w:t>
      </w:r>
    </w:p>
    <w:p w14:paraId="2B648933" w14:textId="77777777" w:rsidR="008409E4" w:rsidRDefault="008409E4" w:rsidP="00B60610">
      <w:pPr>
        <w:spacing w:after="90" w:line="283" w:lineRule="auto"/>
        <w:jc w:val="both"/>
        <w:rPr>
          <w:rFonts w:ascii="Georgia" w:eastAsia="Georgia" w:hAnsi="Georgia" w:cs="Georgia"/>
          <w:sz w:val="21"/>
          <w:szCs w:val="21"/>
        </w:rPr>
      </w:pPr>
    </w:p>
    <w:p w14:paraId="4AF03FD8"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 xml:space="preserve">The central insight behind the proposed explanation is scientifically sound: coagulated and noncoagulating blood can coexist sequentially at the same wound. A serum-like or protein-rich peripheral halo is compatible with phase separation that occurred before transfer, particularly clot-associated serum migration, though it does not uniquely establish that mechanism; a later passive postmortem discharge can arise when the wound is opened or compressed after circulation has ceased. Cool, humid conditions can delay drying or rehydrate old blood enough to permit transfer to linen. Kelly Kearse's experiments provide the strongest modern support for this framework, while classical work by Heller, Adler, Miller, Pellicori, Lavoie, Mole, Haba, and Zugibe supplies the chemical, optical, and postmortem foundations. Recent experiments by Heger and colleagues show that applied blood can generate certain wrist and forearm patterns during controlled arm movements, providing indirect support for movement-dependent stain formation during a hypothetical handling interval. Fanti's multiphase interpretation is conceptually compatible, though several of his specific biomarker and microscopic claims need independent confirmation.</w:t>
      </w:r>
    </w:p>
    <w:p w14:paraId="7DCE24E5" w14:textId="77777777" w:rsidR="008409E4" w:rsidRDefault="008409E4" w:rsidP="00B60610">
      <w:pPr>
        <w:spacing w:after="90" w:line="283" w:lineRule="auto"/>
        <w:jc w:val="both"/>
        <w:rPr>
          <w:rFonts w:ascii="Georgia" w:eastAsia="Georgia" w:hAnsi="Georgia" w:cs="Georgia"/>
          <w:sz w:val="21"/>
          <w:szCs w:val="21"/>
        </w:rPr>
      </w:pPr>
    </w:p>
    <w:p w14:paraId="54F7430E" w14:textId="3237624A"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The top-tier scientific formulation is therefore neither “it all fits perfectly” nor “the pattern proves nothing.” The observations are compatible with a coherent biological sequence supported in part by controlled analogue experiments, although the complete sequence has not been reproduced and alternative mechanisms remain incompletely excluded. Key environmental values, sample identities, chronology, and historical attribution remain underdetermined. The next advance will come from calibrated whole-cloth imaging, transparent quantitative pattern analysis, rigorous molecular controls, and preregistered reconstruction experiments. Until then, the wrist wound should be regarded as a substantial mechanistic compatibility argument for contact with a wounded body, not as a standalone proof of authenticity.</w:t>
      </w:r>
    </w:p>
    <w:p w14:paraId="2CD455D7" w14:textId="77777777" w:rsidR="008409E4" w:rsidRDefault="00000000" w:rsidP="00B60610">
      <w:pPr>
        <w:pStyle w:val="Ttulo1"/>
        <w:spacing w:after="90" w:line="283" w:lineRule="auto"/>
        <w:jc w:val="both"/>
        <w:rPr>
          <w:rFonts w:ascii="Georgia" w:eastAsia="Georgia" w:hAnsi="Georgia" w:cs="Georgia"/>
          <w:b/>
          <w:bCs/>
          <w:color w:val="6B2124"/>
          <w:sz w:val="28"/>
          <w:szCs w:val="28"/>
        </w:rPr>
      </w:pPr>
      <w:bookmarkStart w:id="20" w:name="_vq3oejx03c9" w:colFirst="0" w:colLast="0"/>
      <w:bookmarkEnd w:id="20"/>
      <w:r>
        <w:rPr>
          <w:rFonts w:ascii="Georgia" w:eastAsia="Georgia" w:hAnsi="Georgia" w:cs="Georgia"/>
          <w:b/>
          <w:bCs/>
          <w:color w:val="6B2124"/>
          <w:sz w:val="28"/>
          <w:szCs w:val="28"/>
        </w:rPr>
        <w:t>DECLARATIONS</w:t>
      </w:r>
    </w:p>
    <w:p w14:paraId="471E24FD" w14:textId="77777777" w:rsidR="008409E4" w:rsidRDefault="008409E4" w:rsidP="00B60610">
      <w:pPr>
        <w:spacing w:after="90" w:line="283" w:lineRule="auto"/>
        <w:jc w:val="both"/>
        <w:rPr>
          <w:rFonts w:ascii="Georgia" w:eastAsia="Georgia" w:hAnsi="Georgia" w:cs="Georgia"/>
          <w:sz w:val="21"/>
          <w:szCs w:val="21"/>
        </w:rPr>
      </w:pPr>
    </w:p>
    <w:p w14:paraId="6A7DDC05" w14:textId="77777777" w:rsidR="008409E4" w:rsidRDefault="00000000" w:rsidP="00B60610">
      <w:pPr>
        <w:spacing w:after="90" w:line="283" w:lineRule="auto"/>
        <w:jc w:val="both"/>
        <w:rPr>
          <w:rFonts w:ascii="Georgia" w:eastAsia="Georgia" w:hAnsi="Georgia" w:cs="Georgia"/>
          <w:b/>
          <w:bCs/>
          <w:color w:val="50634D"/>
          <w:sz w:val="21"/>
          <w:szCs w:val="21"/>
        </w:rPr>
      </w:pPr>
      <w:r>
        <w:rPr>
          <w:rFonts w:ascii="Georgia" w:eastAsia="Georgia" w:hAnsi="Georgia" w:cs="Georgia"/>
          <w:b/>
          <w:bCs/>
          <w:color w:val="50634D"/>
          <w:sz w:val="21"/>
          <w:szCs w:val="21"/>
        </w:rPr>
        <w:t>Data Availability</w:t>
      </w:r>
    </w:p>
    <w:p w14:paraId="796E8B0C" w14:textId="77777777" w:rsidR="008409E4" w:rsidRDefault="008409E4" w:rsidP="00B60610">
      <w:pPr>
        <w:spacing w:after="90" w:line="283" w:lineRule="auto"/>
        <w:jc w:val="both"/>
        <w:rPr>
          <w:rFonts w:ascii="Georgia" w:eastAsia="Georgia" w:hAnsi="Georgia" w:cs="Georgia"/>
          <w:sz w:val="21"/>
          <w:szCs w:val="21"/>
        </w:rPr>
      </w:pPr>
    </w:p>
    <w:p w14:paraId="20D94665"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No new datasets were generated. All information evaluated in this review is drawn from the cited literature.</w:t>
      </w:r>
    </w:p>
    <w:p w14:paraId="6DB87F3E" w14:textId="77777777" w:rsidR="00C20465" w:rsidRDefault="00C20465" w:rsidP="00B60610">
      <w:pPr>
        <w:spacing w:after="90" w:line="283" w:lineRule="auto"/>
        <w:jc w:val="both"/>
        <w:rPr>
          <w:rFonts w:ascii="Georgia" w:eastAsia="Georgia" w:hAnsi="Georgia" w:cs="Georgia"/>
          <w:sz w:val="21"/>
          <w:szCs w:val="21"/>
        </w:rPr>
      </w:pPr>
    </w:p>
    <w:p w14:paraId="5980FC7F" w14:textId="77777777" w:rsidR="00C20465" w:rsidRDefault="00C20465" w:rsidP="00B60610">
      <w:pPr>
        <w:spacing w:after="90" w:line="283" w:lineRule="auto"/>
        <w:jc w:val="both"/>
        <w:rPr>
          <w:rFonts w:ascii="Georgia" w:eastAsia="Georgia" w:hAnsi="Georgia" w:cs="Georgia"/>
          <w:sz w:val="21"/>
          <w:szCs w:val="21"/>
        </w:rPr>
      </w:pPr>
    </w:p>
    <w:p w14:paraId="4A6E4E0F" w14:textId="77777777" w:rsidR="008409E4" w:rsidRDefault="008409E4" w:rsidP="00B60610">
      <w:pPr>
        <w:spacing w:after="90" w:line="283" w:lineRule="auto"/>
        <w:jc w:val="both"/>
        <w:rPr>
          <w:rFonts w:ascii="Georgia" w:eastAsia="Georgia" w:hAnsi="Georgia" w:cs="Georgia"/>
          <w:sz w:val="21"/>
          <w:szCs w:val="21"/>
        </w:rPr>
      </w:pPr>
    </w:p>
    <w:p w14:paraId="04B5663A" w14:textId="77777777" w:rsidR="008409E4" w:rsidRDefault="00000000" w:rsidP="00B60610">
      <w:pPr>
        <w:spacing w:after="90" w:line="283" w:lineRule="auto"/>
        <w:jc w:val="both"/>
        <w:rPr>
          <w:rFonts w:ascii="Georgia" w:eastAsia="Georgia" w:hAnsi="Georgia" w:cs="Georgia"/>
          <w:b/>
          <w:bCs/>
          <w:color w:val="50634D"/>
          <w:sz w:val="21"/>
          <w:szCs w:val="21"/>
        </w:rPr>
      </w:pPr>
      <w:r>
        <w:rPr>
          <w:rFonts w:ascii="Georgia" w:eastAsia="Georgia" w:hAnsi="Georgia" w:cs="Georgia"/>
          <w:b/>
          <w:bCs/>
          <w:color w:val="50634D"/>
          <w:sz w:val="21"/>
          <w:szCs w:val="21"/>
        </w:rPr>
        <w:lastRenderedPageBreak/>
        <w:t>Ethics Statement</w:t>
      </w:r>
    </w:p>
    <w:p w14:paraId="3E1F6B34" w14:textId="77777777" w:rsidR="008409E4" w:rsidRDefault="008409E4" w:rsidP="00B60610">
      <w:pPr>
        <w:spacing w:after="90" w:line="283" w:lineRule="auto"/>
        <w:jc w:val="both"/>
        <w:rPr>
          <w:rFonts w:ascii="Georgia" w:eastAsia="Georgia" w:hAnsi="Georgia" w:cs="Georgia"/>
          <w:sz w:val="21"/>
          <w:szCs w:val="21"/>
        </w:rPr>
      </w:pPr>
    </w:p>
    <w:p w14:paraId="56608334" w14:textId="77777777"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This narrative review involved no new research with human participants, human tissue, or animals. Any future study implementing the proposed protocol with human blood or cadaveric tissue would require prior institutional ethics approval, lawful and documented tissue sourcing, consent or donor authorization where applicable, biosafety review, trained personnel, and compliance with local regulations. Validated animal-tissue alternatives should be used where they can answer the question without human tissue.</w:t>
      </w:r>
    </w:p>
    <w:p w14:paraId="4F964F83" w14:textId="77777777" w:rsidR="008409E4" w:rsidRDefault="008409E4" w:rsidP="00B60610">
      <w:pPr>
        <w:spacing w:after="90" w:line="283" w:lineRule="auto"/>
        <w:jc w:val="both"/>
        <w:rPr>
          <w:rFonts w:ascii="Georgia" w:eastAsia="Georgia" w:hAnsi="Georgia" w:cs="Georgia"/>
          <w:sz w:val="21"/>
          <w:szCs w:val="21"/>
        </w:rPr>
      </w:pPr>
    </w:p>
    <w:p w14:paraId="2D04B4D6" w14:textId="44636835" w:rsidR="008409E4" w:rsidRPr="00C20465" w:rsidRDefault="00000000" w:rsidP="00B60610">
      <w:pPr>
        <w:spacing w:after="90" w:line="283" w:lineRule="auto"/>
        <w:jc w:val="both"/>
        <w:rPr>
          <w:rFonts w:ascii="Georgia" w:eastAsia="Georgia" w:hAnsi="Georgia" w:cs="Georgia"/>
          <w:b/>
          <w:bCs/>
          <w:color w:val="50634D"/>
          <w:sz w:val="21"/>
          <w:szCs w:val="21"/>
        </w:rPr>
      </w:pPr>
      <w:r>
        <w:rPr>
          <w:rFonts w:ascii="Georgia" w:eastAsia="Georgia" w:hAnsi="Georgia" w:cs="Georgia"/>
          <w:b/>
          <w:bCs/>
          <w:color w:val="50634D"/>
          <w:sz w:val="21"/>
          <w:szCs w:val="21"/>
        </w:rPr>
        <w:t>Author Contributions</w:t>
      </w:r>
    </w:p>
    <w:p w14:paraId="3EC168C8" w14:textId="34A18B74" w:rsidR="008409E4" w:rsidRDefault="00000000" w:rsidP="00B60610">
      <w:pPr>
        <w:spacing w:after="90" w:line="283" w:lineRule="auto"/>
        <w:jc w:val="both"/>
        <w:rPr>
          <w:rFonts w:ascii="Georgia" w:eastAsia="Georgia" w:hAnsi="Georgia" w:cs="Georgia"/>
          <w:sz w:val="21"/>
          <w:szCs w:val="21"/>
        </w:rPr>
      </w:pPr>
      <w:r>
        <w:rPr>
          <w:rFonts w:ascii="Georgia" w:eastAsia="Georgia" w:hAnsi="Georgia" w:cs="Georgia"/>
          <w:sz w:val="21"/>
          <w:szCs w:val="21"/>
        </w:rPr>
        <w:t xml:space="preserve">Otangelo Grasso: conceptualization, literature review, analysis, writing, and revision.</w:t>
      </w:r>
    </w:p>
    <w:p w14:paraId="1CDD946E" w14:textId="77777777" w:rsidR="008409E4" w:rsidRDefault="00000000" w:rsidP="00B60610">
      <w:pPr>
        <w:pStyle w:val="Ttulo1"/>
        <w:spacing w:after="90" w:line="283" w:lineRule="auto"/>
        <w:jc w:val="both"/>
        <w:rPr>
          <w:rFonts w:ascii="Georgia" w:eastAsia="Georgia" w:hAnsi="Georgia" w:cs="Georgia"/>
          <w:b/>
          <w:bCs/>
          <w:color w:val="6B2124"/>
          <w:sz w:val="28"/>
          <w:szCs w:val="28"/>
        </w:rPr>
      </w:pPr>
      <w:bookmarkStart w:id="21" w:name="_echoxnx0f1ea" w:colFirst="0" w:colLast="0"/>
      <w:bookmarkEnd w:id="21"/>
      <w:r>
        <w:rPr>
          <w:rFonts w:ascii="Georgia" w:eastAsia="Georgia" w:hAnsi="Georgia" w:cs="Georgia"/>
          <w:b/>
          <w:bCs/>
          <w:color w:val="6B2124"/>
          <w:sz w:val="28"/>
          <w:szCs w:val="28"/>
        </w:rPr>
        <w:t>REFERENCES</w:t>
      </w:r>
    </w:p>
    <w:p w14:paraId="7B93F648" w14:textId="77777777" w:rsidR="008409E4" w:rsidRDefault="008409E4" w:rsidP="00B60610">
      <w:pPr>
        <w:spacing w:after="90" w:line="283" w:lineRule="auto"/>
        <w:jc w:val="both"/>
        <w:rPr>
          <w:rFonts w:ascii="Georgia" w:eastAsia="Georgia" w:hAnsi="Georgia" w:cs="Georgia"/>
          <w:sz w:val="21"/>
          <w:szCs w:val="21"/>
        </w:rPr>
      </w:pPr>
    </w:p>
    <w:p w14:paraId="765C1C71" w14:textId="77777777" w:rsidR="008409E4" w:rsidRDefault="00000000" w:rsidP="00B60610">
      <w:pPr>
        <w:spacing w:after="30" w:line="259" w:lineRule="auto"/>
        <w:ind w:left="280" w:hanging="560"/>
        <w:jc w:val="both"/>
        <w:rPr>
          <w:rFonts w:ascii="Georgia" w:eastAsia="Georgia" w:hAnsi="Georgia" w:cs="Georgia"/>
          <w:sz w:val="18"/>
          <w:szCs w:val="18"/>
        </w:rPr>
      </w:pPr>
      <w:r>
        <w:rPr>
          <w:rFonts w:ascii="Georgia" w:eastAsia="Georgia" w:hAnsi="Georgia" w:cs="Georgia"/>
          <w:sz w:val="18"/>
          <w:szCs w:val="18"/>
        </w:rPr>
        <w:t xml:space="preserve">1. Heller JH, Adler AD. Blood on the Shroud of Turin. Applied Optics. 1980;19:2742–2744. doi:10.1364/AO.19.002742.</w:t>
      </w:r>
    </w:p>
    <w:p w14:paraId="46BC17A8" w14:textId="77777777" w:rsidR="008409E4" w:rsidRDefault="008409E4" w:rsidP="00B60610">
      <w:pPr>
        <w:spacing w:after="30" w:line="259" w:lineRule="auto"/>
        <w:ind w:left="280" w:hanging="560"/>
        <w:jc w:val="both"/>
        <w:rPr>
          <w:rFonts w:ascii="Georgia" w:eastAsia="Georgia" w:hAnsi="Georgia" w:cs="Georgia"/>
          <w:sz w:val="18"/>
          <w:szCs w:val="18"/>
        </w:rPr>
      </w:pPr>
    </w:p>
    <w:p w14:paraId="38E46492" w14:textId="77777777" w:rsidR="008409E4" w:rsidRDefault="00000000" w:rsidP="00B60610">
      <w:pPr>
        <w:spacing w:after="30" w:line="259" w:lineRule="auto"/>
        <w:ind w:left="280" w:hanging="560"/>
        <w:jc w:val="both"/>
        <w:rPr>
          <w:rFonts w:ascii="Georgia" w:eastAsia="Georgia" w:hAnsi="Georgia" w:cs="Georgia"/>
          <w:sz w:val="18"/>
          <w:szCs w:val="18"/>
        </w:rPr>
      </w:pPr>
      <w:r>
        <w:rPr>
          <w:rFonts w:ascii="Georgia" w:eastAsia="Georgia" w:hAnsi="Georgia" w:cs="Georgia"/>
          <w:sz w:val="18"/>
          <w:szCs w:val="18"/>
        </w:rPr>
        <w:t>2. Heller JH, Adler AD. A chemical investigation of the Shroud of Turin. Canadian Society of Forensic Science Journal. 1981;14(3):81–103. doi:10.1080/00085030.1981.10756882.</w:t>
      </w:r>
    </w:p>
    <w:p w14:paraId="2CF2F508" w14:textId="77777777" w:rsidR="008409E4" w:rsidRDefault="008409E4" w:rsidP="00B60610">
      <w:pPr>
        <w:spacing w:after="30" w:line="259" w:lineRule="auto"/>
        <w:ind w:left="280" w:hanging="560"/>
        <w:jc w:val="both"/>
        <w:rPr>
          <w:rFonts w:ascii="Georgia" w:eastAsia="Georgia" w:hAnsi="Georgia" w:cs="Georgia"/>
          <w:sz w:val="18"/>
          <w:szCs w:val="18"/>
        </w:rPr>
      </w:pPr>
    </w:p>
    <w:p w14:paraId="7FAEEC06" w14:textId="77777777" w:rsidR="008409E4" w:rsidRDefault="00000000" w:rsidP="00B60610">
      <w:pPr>
        <w:spacing w:after="30" w:line="259" w:lineRule="auto"/>
        <w:ind w:left="280" w:hanging="560"/>
        <w:jc w:val="both"/>
        <w:rPr>
          <w:rFonts w:ascii="Georgia" w:eastAsia="Georgia" w:hAnsi="Georgia" w:cs="Georgia"/>
          <w:sz w:val="18"/>
          <w:szCs w:val="18"/>
        </w:rPr>
      </w:pPr>
      <w:r>
        <w:rPr>
          <w:rFonts w:ascii="Georgia" w:eastAsia="Georgia" w:hAnsi="Georgia" w:cs="Georgia"/>
          <w:sz w:val="18"/>
          <w:szCs w:val="18"/>
        </w:rPr>
        <w:t xml:space="preserve">3. Miller VD, Pellicori SF. Ultraviolet fluorescence photography of the Shroud of Turin. Journal of Biological Photography. 1981;49(3):71–85.</w:t>
      </w:r>
    </w:p>
    <w:p w14:paraId="74A1A441" w14:textId="77777777" w:rsidR="008409E4" w:rsidRDefault="008409E4" w:rsidP="00B60610">
      <w:pPr>
        <w:spacing w:after="30" w:line="259" w:lineRule="auto"/>
        <w:ind w:left="280" w:hanging="560"/>
        <w:jc w:val="both"/>
        <w:rPr>
          <w:rFonts w:ascii="Georgia" w:eastAsia="Georgia" w:hAnsi="Georgia" w:cs="Georgia"/>
          <w:sz w:val="18"/>
          <w:szCs w:val="18"/>
        </w:rPr>
      </w:pPr>
    </w:p>
    <w:p w14:paraId="7827380A" w14:textId="77777777" w:rsidR="008409E4" w:rsidRDefault="00000000" w:rsidP="00B60610">
      <w:pPr>
        <w:spacing w:after="30" w:line="259" w:lineRule="auto"/>
        <w:ind w:left="280" w:hanging="560"/>
        <w:jc w:val="both"/>
        <w:rPr>
          <w:rFonts w:ascii="Georgia" w:eastAsia="Georgia" w:hAnsi="Georgia" w:cs="Georgia"/>
          <w:sz w:val="18"/>
          <w:szCs w:val="18"/>
        </w:rPr>
      </w:pPr>
      <w:r>
        <w:rPr>
          <w:rFonts w:ascii="Georgia" w:eastAsia="Georgia" w:hAnsi="Georgia" w:cs="Georgia"/>
          <w:sz w:val="18"/>
          <w:szCs w:val="18"/>
        </w:rPr>
        <w:t xml:space="preserve">4. Schwalbe LA, Rogers RN. Physics and chemistry of the Shroud of Turin: a summary of the 1978 investigation. Analytica Chimica Acta. 1982;135:3–49.</w:t>
      </w:r>
    </w:p>
    <w:p w14:paraId="139DBD2A" w14:textId="77777777" w:rsidR="008409E4" w:rsidRDefault="008409E4" w:rsidP="00B60610">
      <w:pPr>
        <w:spacing w:after="30" w:line="259" w:lineRule="auto"/>
        <w:ind w:left="280" w:hanging="560"/>
        <w:jc w:val="both"/>
        <w:rPr>
          <w:rFonts w:ascii="Georgia" w:eastAsia="Georgia" w:hAnsi="Georgia" w:cs="Georgia"/>
          <w:sz w:val="18"/>
          <w:szCs w:val="18"/>
        </w:rPr>
      </w:pPr>
    </w:p>
    <w:p w14:paraId="256EAC88" w14:textId="77777777" w:rsidR="008409E4" w:rsidRDefault="00000000" w:rsidP="00B60610">
      <w:pPr>
        <w:spacing w:after="30" w:line="259" w:lineRule="auto"/>
        <w:ind w:left="280" w:hanging="560"/>
        <w:jc w:val="both"/>
        <w:rPr>
          <w:rFonts w:ascii="Georgia" w:eastAsia="Georgia" w:hAnsi="Georgia" w:cs="Georgia"/>
          <w:sz w:val="18"/>
          <w:szCs w:val="18"/>
        </w:rPr>
      </w:pPr>
      <w:r>
        <w:rPr>
          <w:rFonts w:ascii="Georgia" w:eastAsia="Georgia" w:hAnsi="Georgia" w:cs="Georgia"/>
          <w:sz w:val="18"/>
          <w:szCs w:val="18"/>
        </w:rPr>
        <w:t xml:space="preserve">5. Jumper EJ, Adler AD, Jackson JP, Pellicori SF, Heller JH, Druzik JR. A comprehensive examination of the various stains and images on the Shroud of Turin. In: Archaeological Chemistry III. ACS Advances in Chemistry Series 205. Washington, DC: American Chemical Society; 1984:447–476.</w:t>
      </w:r>
    </w:p>
    <w:p w14:paraId="21DDA0B2" w14:textId="77777777" w:rsidR="008409E4" w:rsidRDefault="008409E4" w:rsidP="00B60610">
      <w:pPr>
        <w:spacing w:after="30" w:line="259" w:lineRule="auto"/>
        <w:ind w:left="280" w:hanging="560"/>
        <w:jc w:val="both"/>
        <w:rPr>
          <w:rFonts w:ascii="Georgia" w:eastAsia="Georgia" w:hAnsi="Georgia" w:cs="Georgia"/>
          <w:sz w:val="18"/>
          <w:szCs w:val="18"/>
        </w:rPr>
      </w:pPr>
    </w:p>
    <w:p w14:paraId="4E6A847C" w14:textId="77777777" w:rsidR="008409E4" w:rsidRDefault="00000000" w:rsidP="00B60610">
      <w:pPr>
        <w:spacing w:after="30" w:line="259" w:lineRule="auto"/>
        <w:ind w:left="280" w:hanging="560"/>
        <w:jc w:val="both"/>
        <w:rPr>
          <w:rFonts w:ascii="Georgia" w:eastAsia="Georgia" w:hAnsi="Georgia" w:cs="Georgia"/>
          <w:sz w:val="18"/>
          <w:szCs w:val="18"/>
        </w:rPr>
      </w:pPr>
      <w:r>
        <w:rPr>
          <w:rFonts w:ascii="Georgia" w:eastAsia="Georgia" w:hAnsi="Georgia" w:cs="Georgia"/>
          <w:sz w:val="18"/>
          <w:szCs w:val="18"/>
        </w:rPr>
        <w:t>6. Kearse KP. Ultraviolet 365 as an alternative light source for detection of blood serum. Journal of Forensic Sciences. 2020;65(5):1716–1721. doi:10.1111/1556-4029.14439.</w:t>
      </w:r>
    </w:p>
    <w:p w14:paraId="67696F3F" w14:textId="77777777" w:rsidR="008409E4" w:rsidRDefault="008409E4" w:rsidP="00B60610">
      <w:pPr>
        <w:spacing w:after="30" w:line="259" w:lineRule="auto"/>
        <w:ind w:left="280" w:hanging="560"/>
        <w:jc w:val="both"/>
        <w:rPr>
          <w:rFonts w:ascii="Georgia" w:eastAsia="Georgia" w:hAnsi="Georgia" w:cs="Georgia"/>
          <w:sz w:val="18"/>
          <w:szCs w:val="18"/>
        </w:rPr>
      </w:pPr>
    </w:p>
    <w:p w14:paraId="52DDBACC" w14:textId="77777777" w:rsidR="008409E4" w:rsidRDefault="00000000" w:rsidP="00B60610">
      <w:pPr>
        <w:spacing w:after="30" w:line="259" w:lineRule="auto"/>
        <w:ind w:left="280" w:hanging="560"/>
        <w:jc w:val="both"/>
        <w:rPr>
          <w:rFonts w:ascii="Georgia" w:eastAsia="Georgia" w:hAnsi="Georgia" w:cs="Georgia"/>
          <w:sz w:val="18"/>
          <w:szCs w:val="18"/>
        </w:rPr>
      </w:pPr>
      <w:r>
        <w:rPr>
          <w:rFonts w:ascii="Georgia" w:eastAsia="Georgia" w:hAnsi="Georgia" w:cs="Georgia"/>
          <w:sz w:val="18"/>
          <w:szCs w:val="18"/>
        </w:rPr>
        <w:t xml:space="preserve">7. Kearse KP. Environmental influence on blood serum detection using ultraviolet 365. Journal of Forensic Science and Research. 2021;5:030–036. doi:10.29328/journal.jfsr.1001024.</w:t>
      </w:r>
    </w:p>
    <w:p w14:paraId="1F540811" w14:textId="77777777" w:rsidR="008409E4" w:rsidRDefault="008409E4" w:rsidP="00B60610">
      <w:pPr>
        <w:spacing w:after="30" w:line="259" w:lineRule="auto"/>
        <w:ind w:left="280" w:hanging="560"/>
        <w:jc w:val="both"/>
        <w:rPr>
          <w:rFonts w:ascii="Georgia" w:eastAsia="Georgia" w:hAnsi="Georgia" w:cs="Georgia"/>
          <w:sz w:val="18"/>
          <w:szCs w:val="18"/>
        </w:rPr>
      </w:pPr>
    </w:p>
    <w:p w14:paraId="75C6337D" w14:textId="77777777" w:rsidR="008409E4" w:rsidRDefault="00000000" w:rsidP="00B60610">
      <w:pPr>
        <w:spacing w:after="30" w:line="259" w:lineRule="auto"/>
        <w:ind w:left="280" w:hanging="560"/>
        <w:jc w:val="both"/>
        <w:rPr>
          <w:rFonts w:ascii="Georgia" w:eastAsia="Georgia" w:hAnsi="Georgia" w:cs="Georgia"/>
          <w:sz w:val="18"/>
          <w:szCs w:val="18"/>
        </w:rPr>
      </w:pPr>
      <w:r>
        <w:rPr>
          <w:rFonts w:ascii="Georgia" w:eastAsia="Georgia" w:hAnsi="Georgia" w:cs="Georgia"/>
          <w:sz w:val="18"/>
          <w:szCs w:val="18"/>
        </w:rPr>
        <w:t>8. Kearse KP. Visualization of plasma and serum pattern formation in drying drops of blood. ARC Journal of Forensic Science. 2022;6(1):1–5. Available at: https://www.arcjournals.org/article/4898.</w:t>
      </w:r>
    </w:p>
    <w:p w14:paraId="4FB22EE8" w14:textId="77777777" w:rsidR="008409E4" w:rsidRDefault="008409E4" w:rsidP="00B60610">
      <w:pPr>
        <w:spacing w:after="30" w:line="259" w:lineRule="auto"/>
        <w:ind w:left="280" w:hanging="560"/>
        <w:jc w:val="both"/>
        <w:rPr>
          <w:rFonts w:ascii="Georgia" w:eastAsia="Georgia" w:hAnsi="Georgia" w:cs="Georgia"/>
          <w:sz w:val="18"/>
          <w:szCs w:val="18"/>
        </w:rPr>
      </w:pPr>
    </w:p>
    <w:p w14:paraId="01BE54B9" w14:textId="77777777" w:rsidR="008409E4" w:rsidRDefault="00000000" w:rsidP="00B60610">
      <w:pPr>
        <w:spacing w:after="30" w:line="259" w:lineRule="auto"/>
        <w:ind w:left="280" w:hanging="560"/>
        <w:jc w:val="both"/>
        <w:rPr>
          <w:rFonts w:ascii="Georgia" w:eastAsia="Georgia" w:hAnsi="Georgia" w:cs="Georgia"/>
          <w:sz w:val="18"/>
          <w:szCs w:val="18"/>
        </w:rPr>
      </w:pPr>
      <w:r>
        <w:rPr>
          <w:rFonts w:ascii="Georgia" w:eastAsia="Georgia" w:hAnsi="Georgia" w:cs="Georgia"/>
          <w:sz w:val="18"/>
          <w:szCs w:val="18"/>
        </w:rPr>
        <w:t xml:space="preserve">9. Kearse KP. The effect of humidity on blood serum pattern formation and blood transfer. Journal of Forensic Science and Research. 2023;7:040–048. doi:10.29328/journal.jfsr.1001048.</w:t>
      </w:r>
    </w:p>
    <w:p w14:paraId="7DC4F9E5" w14:textId="77777777" w:rsidR="008409E4" w:rsidRDefault="008409E4" w:rsidP="00B60610">
      <w:pPr>
        <w:spacing w:after="30" w:line="259" w:lineRule="auto"/>
        <w:ind w:left="280" w:hanging="560"/>
        <w:jc w:val="both"/>
        <w:rPr>
          <w:rFonts w:ascii="Georgia" w:eastAsia="Georgia" w:hAnsi="Georgia" w:cs="Georgia"/>
          <w:sz w:val="18"/>
          <w:szCs w:val="18"/>
        </w:rPr>
      </w:pPr>
    </w:p>
    <w:p w14:paraId="08B3CB58" w14:textId="77777777" w:rsidR="008409E4" w:rsidRDefault="00000000" w:rsidP="00B60610">
      <w:pPr>
        <w:spacing w:after="30" w:line="259" w:lineRule="auto"/>
        <w:ind w:left="280" w:hanging="560"/>
        <w:jc w:val="both"/>
        <w:rPr>
          <w:rFonts w:ascii="Georgia" w:eastAsia="Georgia" w:hAnsi="Georgia" w:cs="Georgia"/>
          <w:sz w:val="18"/>
          <w:szCs w:val="18"/>
        </w:rPr>
      </w:pPr>
      <w:r>
        <w:rPr>
          <w:rFonts w:ascii="Georgia" w:eastAsia="Georgia" w:hAnsi="Georgia" w:cs="Georgia"/>
          <w:sz w:val="18"/>
          <w:szCs w:val="18"/>
        </w:rPr>
        <w:t xml:space="preserve">10. Kearse KP. A simple, natural mechanism for the transfer of dry bloodstains onto the Shroud of Turin. International Journal of Archaeology. 2023;11(2):17–21. doi:10.11648/j.ija.20231102.11.</w:t>
      </w:r>
    </w:p>
    <w:p w14:paraId="748CB0D4" w14:textId="77777777" w:rsidR="008409E4" w:rsidRDefault="008409E4" w:rsidP="00B60610">
      <w:pPr>
        <w:spacing w:after="30" w:line="259" w:lineRule="auto"/>
        <w:ind w:left="280" w:hanging="560"/>
        <w:jc w:val="both"/>
        <w:rPr>
          <w:rFonts w:ascii="Georgia" w:eastAsia="Georgia" w:hAnsi="Georgia" w:cs="Georgia"/>
          <w:sz w:val="18"/>
          <w:szCs w:val="18"/>
        </w:rPr>
      </w:pPr>
    </w:p>
    <w:p w14:paraId="5468A841" w14:textId="77777777" w:rsidR="008409E4" w:rsidRDefault="00000000" w:rsidP="00B60610">
      <w:pPr>
        <w:spacing w:after="30" w:line="259" w:lineRule="auto"/>
        <w:ind w:left="280" w:hanging="560"/>
        <w:jc w:val="both"/>
        <w:rPr>
          <w:rFonts w:ascii="Georgia" w:eastAsia="Georgia" w:hAnsi="Georgia" w:cs="Georgia"/>
          <w:sz w:val="18"/>
          <w:szCs w:val="18"/>
        </w:rPr>
      </w:pPr>
      <w:r>
        <w:rPr>
          <w:rFonts w:ascii="Georgia" w:eastAsia="Georgia" w:hAnsi="Georgia" w:cs="Georgia"/>
          <w:sz w:val="18"/>
          <w:szCs w:val="18"/>
        </w:rPr>
        <w:t xml:space="preserve">11. Kearse KP. Blood transfer to the Shroud of Turin: the washing hypothesis revisited. International Journal of Archaeology. 2025;13(2):152–156. doi:10.11648/j.ija.20251302.12.</w:t>
      </w:r>
    </w:p>
    <w:p w14:paraId="4E0BAD8A" w14:textId="77777777" w:rsidR="008409E4" w:rsidRDefault="008409E4" w:rsidP="00B60610">
      <w:pPr>
        <w:spacing w:after="30" w:line="259" w:lineRule="auto"/>
        <w:ind w:left="280" w:hanging="560"/>
        <w:jc w:val="both"/>
        <w:rPr>
          <w:rFonts w:ascii="Georgia" w:eastAsia="Georgia" w:hAnsi="Georgia" w:cs="Georgia"/>
          <w:sz w:val="18"/>
          <w:szCs w:val="18"/>
        </w:rPr>
      </w:pPr>
    </w:p>
    <w:p w14:paraId="310D5E80" w14:textId="77777777" w:rsidR="008409E4" w:rsidRDefault="00000000" w:rsidP="00B60610">
      <w:pPr>
        <w:spacing w:after="30" w:line="259" w:lineRule="auto"/>
        <w:ind w:left="280" w:hanging="560"/>
        <w:jc w:val="both"/>
        <w:rPr>
          <w:rFonts w:ascii="Georgia" w:eastAsia="Georgia" w:hAnsi="Georgia" w:cs="Georgia"/>
          <w:sz w:val="18"/>
          <w:szCs w:val="18"/>
        </w:rPr>
      </w:pPr>
      <w:r>
        <w:rPr>
          <w:rFonts w:ascii="Georgia" w:eastAsia="Georgia" w:hAnsi="Georgia" w:cs="Georgia"/>
          <w:sz w:val="18"/>
          <w:szCs w:val="18"/>
        </w:rPr>
        <w:t xml:space="preserve">12. Kearse KP. The aggrandizement of scientific data in the media: the Shroud of Turin blood marks as a case example. Forensic Science International: Reports. 2025;12:100430. doi:10.1016/j.fsir.2025.100430.</w:t>
      </w:r>
    </w:p>
    <w:p w14:paraId="68EF2665" w14:textId="77777777" w:rsidR="008409E4" w:rsidRDefault="008409E4" w:rsidP="00B60610">
      <w:pPr>
        <w:spacing w:after="30" w:line="259" w:lineRule="auto"/>
        <w:ind w:left="280" w:hanging="560"/>
        <w:jc w:val="both"/>
        <w:rPr>
          <w:rFonts w:ascii="Georgia" w:eastAsia="Georgia" w:hAnsi="Georgia" w:cs="Georgia"/>
          <w:sz w:val="18"/>
          <w:szCs w:val="18"/>
        </w:rPr>
      </w:pPr>
    </w:p>
    <w:p w14:paraId="39A0DEFD" w14:textId="77777777" w:rsidR="008409E4" w:rsidRDefault="00000000" w:rsidP="00B60610">
      <w:pPr>
        <w:spacing w:after="30" w:line="259" w:lineRule="auto"/>
        <w:ind w:left="280" w:hanging="560"/>
        <w:jc w:val="both"/>
        <w:rPr>
          <w:rFonts w:ascii="Georgia" w:eastAsia="Georgia" w:hAnsi="Georgia" w:cs="Georgia"/>
          <w:sz w:val="18"/>
          <w:szCs w:val="18"/>
        </w:rPr>
      </w:pPr>
      <w:r>
        <w:rPr>
          <w:rFonts w:ascii="Georgia" w:eastAsia="Georgia" w:hAnsi="Georgia" w:cs="Georgia"/>
          <w:sz w:val="18"/>
          <w:szCs w:val="18"/>
        </w:rPr>
        <w:t>13. Kearse KP. Blood on the Shroud of Turin: an immunological review. Shroud of Turin Website. August 2012:1–22. Available at: https://www.shroud.com/pdfs/kearse.pdf.</w:t>
      </w:r>
    </w:p>
    <w:p w14:paraId="6B9751C5" w14:textId="77777777" w:rsidR="008409E4" w:rsidRDefault="008409E4" w:rsidP="00B60610">
      <w:pPr>
        <w:spacing w:after="30" w:line="259" w:lineRule="auto"/>
        <w:ind w:left="280" w:hanging="560"/>
        <w:jc w:val="both"/>
        <w:rPr>
          <w:rFonts w:ascii="Georgia" w:eastAsia="Georgia" w:hAnsi="Georgia" w:cs="Georgia"/>
          <w:sz w:val="18"/>
          <w:szCs w:val="18"/>
        </w:rPr>
      </w:pPr>
    </w:p>
    <w:p w14:paraId="2728E5CF" w14:textId="77777777" w:rsidR="008409E4" w:rsidRDefault="00000000" w:rsidP="00B60610">
      <w:pPr>
        <w:spacing w:after="30" w:line="259" w:lineRule="auto"/>
        <w:ind w:left="280" w:hanging="560"/>
        <w:jc w:val="both"/>
        <w:rPr>
          <w:rFonts w:ascii="Georgia" w:eastAsia="Georgia" w:hAnsi="Georgia" w:cs="Georgia"/>
          <w:sz w:val="18"/>
          <w:szCs w:val="18"/>
        </w:rPr>
      </w:pPr>
      <w:r>
        <w:rPr>
          <w:rFonts w:ascii="Georgia" w:eastAsia="Georgia" w:hAnsi="Georgia" w:cs="Georgia"/>
          <w:sz w:val="18"/>
          <w:szCs w:val="18"/>
        </w:rPr>
        <w:t xml:space="preserve">14. Kearse KP. Validation and limitations in the DNA analysis of aged bloodstains: the Shroud of Turin as a sample case. Forensic Science International: Reports. 2023;8:100335. doi:10.1016/j.fsir.2023.100335.</w:t>
      </w:r>
    </w:p>
    <w:p w14:paraId="6704F7C2" w14:textId="77777777" w:rsidR="008409E4" w:rsidRDefault="008409E4" w:rsidP="00B60610">
      <w:pPr>
        <w:spacing w:after="30" w:line="259" w:lineRule="auto"/>
        <w:ind w:left="280" w:hanging="560"/>
        <w:jc w:val="both"/>
        <w:rPr>
          <w:rFonts w:ascii="Georgia" w:eastAsia="Georgia" w:hAnsi="Georgia" w:cs="Georgia"/>
          <w:sz w:val="18"/>
          <w:szCs w:val="18"/>
        </w:rPr>
      </w:pPr>
    </w:p>
    <w:p w14:paraId="44A1CB35" w14:textId="77777777" w:rsidR="008409E4" w:rsidRDefault="00000000" w:rsidP="00B60610">
      <w:pPr>
        <w:spacing w:after="30" w:line="259" w:lineRule="auto"/>
        <w:ind w:left="280" w:hanging="560"/>
        <w:jc w:val="both"/>
        <w:rPr>
          <w:rFonts w:ascii="Georgia" w:eastAsia="Georgia" w:hAnsi="Georgia" w:cs="Georgia"/>
          <w:sz w:val="18"/>
          <w:szCs w:val="18"/>
        </w:rPr>
      </w:pPr>
      <w:r>
        <w:rPr>
          <w:rFonts w:ascii="Georgia" w:eastAsia="Georgia" w:hAnsi="Georgia" w:cs="Georgia"/>
          <w:sz w:val="18"/>
          <w:szCs w:val="18"/>
        </w:rPr>
        <w:t xml:space="preserve">15. Lavoie GR, Lavoie BB, Donovan VJ, Ballas JS. Blood on the Shroud of Turin: Part II—the importance of time in the transfer of blood clots to cloth as distinctive clot images. Shroud Spectrum International. 1983;8:2–10.</w:t>
      </w:r>
    </w:p>
    <w:p w14:paraId="0DFD8227" w14:textId="77777777" w:rsidR="008409E4" w:rsidRDefault="008409E4" w:rsidP="00B60610">
      <w:pPr>
        <w:spacing w:after="30" w:line="259" w:lineRule="auto"/>
        <w:ind w:left="280" w:hanging="560"/>
        <w:jc w:val="both"/>
        <w:rPr>
          <w:rFonts w:ascii="Georgia" w:eastAsia="Georgia" w:hAnsi="Georgia" w:cs="Georgia"/>
          <w:sz w:val="18"/>
          <w:szCs w:val="18"/>
        </w:rPr>
      </w:pPr>
    </w:p>
    <w:p w14:paraId="5176DA19" w14:textId="77777777" w:rsidR="008409E4" w:rsidRDefault="00000000" w:rsidP="00B60610">
      <w:pPr>
        <w:spacing w:after="30" w:line="259" w:lineRule="auto"/>
        <w:ind w:left="280" w:hanging="560"/>
        <w:jc w:val="both"/>
        <w:rPr>
          <w:rFonts w:ascii="Georgia" w:eastAsia="Georgia" w:hAnsi="Georgia" w:cs="Georgia"/>
          <w:sz w:val="18"/>
          <w:szCs w:val="18"/>
        </w:rPr>
      </w:pPr>
      <w:r>
        <w:rPr>
          <w:rFonts w:ascii="Georgia" w:eastAsia="Georgia" w:hAnsi="Georgia" w:cs="Georgia"/>
          <w:sz w:val="18"/>
          <w:szCs w:val="18"/>
        </w:rPr>
        <w:t>16. Mole RH. Fibrinolysis and the fluidity of the blood post mortem. Journal of Pathology and Bacteriology. 1948;60(3):413–427.</w:t>
      </w:r>
    </w:p>
    <w:p w14:paraId="5799D94E" w14:textId="77777777" w:rsidR="008409E4" w:rsidRDefault="008409E4" w:rsidP="00B60610">
      <w:pPr>
        <w:spacing w:after="30" w:line="259" w:lineRule="auto"/>
        <w:ind w:left="280" w:hanging="560"/>
        <w:jc w:val="both"/>
        <w:rPr>
          <w:rFonts w:ascii="Georgia" w:eastAsia="Georgia" w:hAnsi="Georgia" w:cs="Georgia"/>
          <w:sz w:val="18"/>
          <w:szCs w:val="18"/>
        </w:rPr>
      </w:pPr>
    </w:p>
    <w:p w14:paraId="44327893" w14:textId="77777777" w:rsidR="008409E4" w:rsidRDefault="00000000" w:rsidP="00B60610">
      <w:pPr>
        <w:spacing w:after="30" w:line="259" w:lineRule="auto"/>
        <w:ind w:left="280" w:hanging="560"/>
        <w:jc w:val="both"/>
        <w:rPr>
          <w:rFonts w:ascii="Georgia" w:eastAsia="Georgia" w:hAnsi="Georgia" w:cs="Georgia"/>
          <w:sz w:val="18"/>
          <w:szCs w:val="18"/>
        </w:rPr>
      </w:pPr>
      <w:r>
        <w:rPr>
          <w:rFonts w:ascii="Georgia" w:eastAsia="Georgia" w:hAnsi="Georgia" w:cs="Georgia"/>
          <w:sz w:val="18"/>
          <w:szCs w:val="18"/>
        </w:rPr>
        <w:t xml:space="preserve">17. Haba K, et al. Post-mortem activation of human blood fibrinolytic enzyme in sudden and natural deaths. Acta Medicinae Okayama. 1963;17:279–288.</w:t>
      </w:r>
    </w:p>
    <w:p w14:paraId="5F48872D" w14:textId="77777777" w:rsidR="008409E4" w:rsidRDefault="008409E4" w:rsidP="00B60610">
      <w:pPr>
        <w:spacing w:after="30" w:line="259" w:lineRule="auto"/>
        <w:ind w:left="280" w:hanging="560"/>
        <w:jc w:val="both"/>
        <w:rPr>
          <w:rFonts w:ascii="Georgia" w:eastAsia="Georgia" w:hAnsi="Georgia" w:cs="Georgia"/>
          <w:sz w:val="18"/>
          <w:szCs w:val="18"/>
        </w:rPr>
      </w:pPr>
    </w:p>
    <w:p w14:paraId="7C76B923" w14:textId="77777777" w:rsidR="008409E4" w:rsidRDefault="00000000" w:rsidP="00B60610">
      <w:pPr>
        <w:spacing w:after="30" w:line="259" w:lineRule="auto"/>
        <w:ind w:left="280" w:hanging="560"/>
        <w:jc w:val="both"/>
        <w:rPr>
          <w:rFonts w:ascii="Georgia" w:eastAsia="Georgia" w:hAnsi="Georgia" w:cs="Georgia"/>
          <w:sz w:val="18"/>
          <w:szCs w:val="18"/>
        </w:rPr>
      </w:pPr>
      <w:r>
        <w:rPr>
          <w:rFonts w:ascii="Georgia" w:eastAsia="Georgia" w:hAnsi="Georgia" w:cs="Georgia"/>
          <w:sz w:val="18"/>
          <w:szCs w:val="18"/>
        </w:rPr>
        <w:t>18. Zugibe FT. The Crucifixion of Jesus: A Forensic Inquiry. New York: M. Evans; 2005.</w:t>
      </w:r>
    </w:p>
    <w:p w14:paraId="71A97437" w14:textId="77777777" w:rsidR="008409E4" w:rsidRDefault="008409E4" w:rsidP="00B60610">
      <w:pPr>
        <w:spacing w:after="30" w:line="259" w:lineRule="auto"/>
        <w:ind w:left="280" w:hanging="560"/>
        <w:jc w:val="both"/>
        <w:rPr>
          <w:rFonts w:ascii="Georgia" w:eastAsia="Georgia" w:hAnsi="Georgia" w:cs="Georgia"/>
          <w:sz w:val="18"/>
          <w:szCs w:val="18"/>
        </w:rPr>
      </w:pPr>
    </w:p>
    <w:p w14:paraId="0CDC4F9B" w14:textId="77777777" w:rsidR="008409E4" w:rsidRDefault="00000000" w:rsidP="00B60610">
      <w:pPr>
        <w:spacing w:after="30" w:line="259" w:lineRule="auto"/>
        <w:ind w:left="280" w:hanging="560"/>
        <w:jc w:val="both"/>
        <w:rPr>
          <w:rFonts w:ascii="Georgia" w:eastAsia="Georgia" w:hAnsi="Georgia" w:cs="Georgia"/>
          <w:sz w:val="18"/>
          <w:szCs w:val="18"/>
        </w:rPr>
      </w:pPr>
      <w:r>
        <w:rPr>
          <w:rFonts w:ascii="Georgia" w:eastAsia="Georgia" w:hAnsi="Georgia" w:cs="Georgia"/>
          <w:sz w:val="18"/>
          <w:szCs w:val="18"/>
        </w:rPr>
        <w:t xml:space="preserve">19. Di Minno G, Scala R, Ventre I, de Gaetano G. Blood stains of the Turin Shroud 2015: beyond personal hopes and limitations of techniques. Internal and Emergency Medicine. 2016;11(4):507–516. doi:10.1007/s11739-016-1433-7.</w:t>
      </w:r>
    </w:p>
    <w:p w14:paraId="7AE696E4" w14:textId="77777777" w:rsidR="008409E4" w:rsidRDefault="008409E4" w:rsidP="00B60610">
      <w:pPr>
        <w:spacing w:after="30" w:line="259" w:lineRule="auto"/>
        <w:ind w:left="280" w:hanging="560"/>
        <w:jc w:val="both"/>
        <w:rPr>
          <w:rFonts w:ascii="Georgia" w:eastAsia="Georgia" w:hAnsi="Georgia" w:cs="Georgia"/>
          <w:sz w:val="18"/>
          <w:szCs w:val="18"/>
        </w:rPr>
      </w:pPr>
    </w:p>
    <w:p w14:paraId="7B37A1C2" w14:textId="77777777" w:rsidR="008409E4" w:rsidRDefault="00000000" w:rsidP="00B60610">
      <w:pPr>
        <w:spacing w:after="30" w:line="259" w:lineRule="auto"/>
        <w:ind w:left="280" w:hanging="560"/>
        <w:jc w:val="both"/>
        <w:rPr>
          <w:rFonts w:ascii="Georgia" w:eastAsia="Georgia" w:hAnsi="Georgia" w:cs="Georgia"/>
          <w:sz w:val="18"/>
          <w:szCs w:val="18"/>
        </w:rPr>
      </w:pPr>
      <w:r>
        <w:rPr>
          <w:rFonts w:ascii="Georgia" w:eastAsia="Georgia" w:hAnsi="Georgia" w:cs="Georgia"/>
          <w:sz w:val="18"/>
          <w:szCs w:val="18"/>
        </w:rPr>
        <w:t>20. Di Lascio A, et al. Investigating the color of the blood stains on archaeological cloths: the case of the Shroud of Turin. Applied Optics. 2018;57(23):6626–6632.</w:t>
      </w:r>
    </w:p>
    <w:p w14:paraId="20459646" w14:textId="77777777" w:rsidR="008409E4" w:rsidRDefault="008409E4" w:rsidP="00B60610">
      <w:pPr>
        <w:spacing w:after="30" w:line="259" w:lineRule="auto"/>
        <w:ind w:left="280" w:hanging="560"/>
        <w:jc w:val="both"/>
        <w:rPr>
          <w:rFonts w:ascii="Georgia" w:eastAsia="Georgia" w:hAnsi="Georgia" w:cs="Georgia"/>
          <w:sz w:val="18"/>
          <w:szCs w:val="18"/>
        </w:rPr>
      </w:pPr>
    </w:p>
    <w:p w14:paraId="28A2CC94" w14:textId="77777777" w:rsidR="008409E4" w:rsidRDefault="00000000" w:rsidP="00B60610">
      <w:pPr>
        <w:spacing w:after="30" w:line="259" w:lineRule="auto"/>
        <w:ind w:left="280" w:hanging="560"/>
        <w:jc w:val="both"/>
        <w:rPr>
          <w:rFonts w:ascii="Georgia" w:eastAsia="Georgia" w:hAnsi="Georgia" w:cs="Georgia"/>
          <w:sz w:val="18"/>
          <w:szCs w:val="18"/>
        </w:rPr>
      </w:pPr>
      <w:r>
        <w:rPr>
          <w:rFonts w:ascii="Georgia" w:eastAsia="Georgia" w:hAnsi="Georgia" w:cs="Georgia"/>
          <w:sz w:val="18"/>
          <w:szCs w:val="18"/>
        </w:rPr>
        <w:t xml:space="preserve">21. Fanti G. New insights on blood evidence from the Turin Shroud consistent with Jesus Christ's tortures. Archives of Hematology Case Reports and Reviews. 2024;9:008–024.</w:t>
      </w:r>
    </w:p>
    <w:p w14:paraId="088F18BE" w14:textId="77777777" w:rsidR="008409E4" w:rsidRDefault="008409E4" w:rsidP="00B60610">
      <w:pPr>
        <w:spacing w:after="30" w:line="259" w:lineRule="auto"/>
        <w:ind w:left="280" w:hanging="560"/>
        <w:jc w:val="both"/>
        <w:rPr>
          <w:rFonts w:ascii="Georgia" w:eastAsia="Georgia" w:hAnsi="Georgia" w:cs="Georgia"/>
          <w:sz w:val="18"/>
          <w:szCs w:val="18"/>
        </w:rPr>
      </w:pPr>
    </w:p>
    <w:p w14:paraId="74B4F5BB" w14:textId="77777777" w:rsidR="008409E4" w:rsidRDefault="00000000" w:rsidP="00B60610">
      <w:pPr>
        <w:spacing w:after="30" w:line="259" w:lineRule="auto"/>
        <w:ind w:left="280" w:hanging="560"/>
        <w:jc w:val="both"/>
        <w:rPr>
          <w:rFonts w:ascii="Georgia" w:eastAsia="Georgia" w:hAnsi="Georgia" w:cs="Georgia"/>
          <w:sz w:val="18"/>
          <w:szCs w:val="18"/>
        </w:rPr>
      </w:pPr>
      <w:r>
        <w:rPr>
          <w:rFonts w:ascii="Georgia" w:eastAsia="Georgia" w:hAnsi="Georgia" w:cs="Georgia"/>
          <w:sz w:val="18"/>
          <w:szCs w:val="18"/>
        </w:rPr>
        <w:t xml:space="preserve">22. Fanti G, Zagotto G. Blood reinforced by pigments in the reddish stains of the Turin Shroud. Journal of Cultural Heritage. 2017;25:113–120. doi:10.1016/j.culher.2016.12.012.</w:t>
      </w:r>
    </w:p>
    <w:p w14:paraId="5D43F66D" w14:textId="77777777" w:rsidR="008409E4" w:rsidRDefault="008409E4" w:rsidP="00B60610">
      <w:pPr>
        <w:spacing w:after="30" w:line="259" w:lineRule="auto"/>
        <w:ind w:left="280" w:hanging="560"/>
        <w:jc w:val="both"/>
        <w:rPr>
          <w:rFonts w:ascii="Georgia" w:eastAsia="Georgia" w:hAnsi="Georgia" w:cs="Georgia"/>
          <w:sz w:val="18"/>
          <w:szCs w:val="18"/>
        </w:rPr>
      </w:pPr>
    </w:p>
    <w:p w14:paraId="1351983B" w14:textId="77777777" w:rsidR="008409E4" w:rsidRDefault="00000000" w:rsidP="00B60610">
      <w:pPr>
        <w:spacing w:after="30" w:line="259" w:lineRule="auto"/>
        <w:ind w:left="280" w:hanging="560"/>
        <w:jc w:val="both"/>
        <w:rPr>
          <w:rFonts w:ascii="Georgia" w:eastAsia="Georgia" w:hAnsi="Georgia" w:cs="Georgia"/>
          <w:sz w:val="18"/>
          <w:szCs w:val="18"/>
        </w:rPr>
      </w:pPr>
      <w:r>
        <w:rPr>
          <w:rFonts w:ascii="Georgia" w:eastAsia="Georgia" w:hAnsi="Georgia" w:cs="Georgia"/>
          <w:sz w:val="18"/>
          <w:szCs w:val="18"/>
        </w:rPr>
        <w:t xml:space="preserve">23. Heger A, et al. Further experiments and remarks regarding the possible formation of blood stains on the Turin Shroud: stains attributed to the nailing of the hands. International Journal of Legal Medicine. 2024;138:1573–1581. doi:10.1007/s00414-024-03166-7.</w:t>
      </w:r>
    </w:p>
    <w:p w14:paraId="3C49C0BD" w14:textId="77777777" w:rsidR="008409E4" w:rsidRDefault="008409E4" w:rsidP="00B60610">
      <w:pPr>
        <w:spacing w:after="30" w:line="259" w:lineRule="auto"/>
        <w:ind w:left="280" w:hanging="560"/>
        <w:jc w:val="both"/>
        <w:rPr>
          <w:rFonts w:ascii="Georgia" w:eastAsia="Georgia" w:hAnsi="Georgia" w:cs="Georgia"/>
          <w:sz w:val="18"/>
          <w:szCs w:val="18"/>
        </w:rPr>
      </w:pPr>
    </w:p>
    <w:p w14:paraId="7473DA10" w14:textId="77777777" w:rsidR="008409E4" w:rsidRDefault="00000000" w:rsidP="00B60610">
      <w:pPr>
        <w:spacing w:after="30" w:line="259" w:lineRule="auto"/>
        <w:ind w:left="280" w:hanging="560"/>
        <w:jc w:val="both"/>
        <w:rPr>
          <w:rFonts w:ascii="Georgia" w:eastAsia="Georgia" w:hAnsi="Georgia" w:cs="Georgia"/>
          <w:sz w:val="18"/>
          <w:szCs w:val="18"/>
        </w:rPr>
      </w:pPr>
      <w:r>
        <w:rPr>
          <w:rFonts w:ascii="Georgia" w:eastAsia="Georgia" w:hAnsi="Georgia" w:cs="Georgia"/>
          <w:sz w:val="18"/>
          <w:szCs w:val="18"/>
        </w:rPr>
        <w:t xml:space="preserve">24. König L, Schmölders R, Jühling M, et al. Some experiments and remarks regarding the possible formation of blood stains on the Turin Shroud: stains attributed to the crown of thorns, the lance wound and the belt of blood. International Journal of Legal Medicine. 2024;138:229–238. doi:10.1007/s00414-023-02959-6.</w:t>
      </w:r>
    </w:p>
    <w:p w14:paraId="1B819BFD" w14:textId="77777777" w:rsidR="008409E4" w:rsidRDefault="008409E4" w:rsidP="00B60610">
      <w:pPr>
        <w:spacing w:after="30" w:line="259" w:lineRule="auto"/>
        <w:ind w:left="280" w:hanging="560"/>
        <w:jc w:val="both"/>
        <w:rPr>
          <w:rFonts w:ascii="Georgia" w:eastAsia="Georgia" w:hAnsi="Georgia" w:cs="Georgia"/>
          <w:sz w:val="18"/>
          <w:szCs w:val="18"/>
        </w:rPr>
      </w:pPr>
    </w:p>
    <w:p w14:paraId="5649FC45" w14:textId="77777777" w:rsidR="008409E4" w:rsidRDefault="00000000" w:rsidP="00B60610">
      <w:pPr>
        <w:spacing w:after="30" w:line="259" w:lineRule="auto"/>
        <w:ind w:left="280" w:hanging="560"/>
        <w:jc w:val="both"/>
        <w:rPr>
          <w:rFonts w:ascii="Georgia" w:eastAsia="Georgia" w:hAnsi="Georgia" w:cs="Georgia"/>
          <w:sz w:val="18"/>
          <w:szCs w:val="18"/>
        </w:rPr>
      </w:pPr>
      <w:r>
        <w:rPr>
          <w:rFonts w:ascii="Georgia" w:eastAsia="Georgia" w:hAnsi="Georgia" w:cs="Georgia"/>
          <w:sz w:val="18"/>
          <w:szCs w:val="18"/>
        </w:rPr>
        <w:t xml:space="preserve">25. Borrini M, Garlaschelli L. A BPA approach to the Shroud of Turin. Journal of Forensic Sciences. 2019;64(1):137–143. doi:10.1111/1556-4029.13867.</w:t>
      </w:r>
    </w:p>
    <w:p w14:paraId="6F5FC838" w14:textId="77777777" w:rsidR="008409E4" w:rsidRDefault="008409E4" w:rsidP="00B60610">
      <w:pPr>
        <w:spacing w:after="30" w:line="259" w:lineRule="auto"/>
        <w:ind w:left="280" w:hanging="560"/>
        <w:jc w:val="both"/>
        <w:rPr>
          <w:rFonts w:ascii="Georgia" w:eastAsia="Georgia" w:hAnsi="Georgia" w:cs="Georgia"/>
          <w:sz w:val="18"/>
          <w:szCs w:val="18"/>
        </w:rPr>
      </w:pPr>
    </w:p>
    <w:p w14:paraId="4890EE6D" w14:textId="77777777" w:rsidR="008409E4" w:rsidRDefault="00000000" w:rsidP="00B60610">
      <w:pPr>
        <w:spacing w:after="30" w:line="259" w:lineRule="auto"/>
        <w:ind w:left="280" w:hanging="560"/>
        <w:jc w:val="both"/>
        <w:rPr>
          <w:rFonts w:ascii="Georgia" w:eastAsia="Georgia" w:hAnsi="Georgia" w:cs="Georgia"/>
          <w:sz w:val="18"/>
          <w:szCs w:val="18"/>
        </w:rPr>
      </w:pPr>
      <w:r>
        <w:rPr>
          <w:rFonts w:ascii="Georgia" w:eastAsia="Georgia" w:hAnsi="Georgia" w:cs="Georgia"/>
          <w:sz w:val="18"/>
          <w:szCs w:val="18"/>
        </w:rPr>
        <w:t>26. McCrone WC. The Shroud of Turin: blood or artist's pigment? Accounts of Chemical Research. 1990;23(3):77–83. doi:10.1021/ar00171a004.</w:t>
      </w:r>
    </w:p>
    <w:p w14:paraId="7B179C98" w14:textId="77777777" w:rsidR="008409E4" w:rsidRDefault="008409E4" w:rsidP="00B60610">
      <w:pPr>
        <w:spacing w:after="30" w:line="259" w:lineRule="auto"/>
        <w:ind w:left="280" w:hanging="560"/>
        <w:jc w:val="both"/>
        <w:rPr>
          <w:rFonts w:ascii="Georgia" w:eastAsia="Georgia" w:hAnsi="Georgia" w:cs="Georgia"/>
          <w:sz w:val="18"/>
          <w:szCs w:val="18"/>
        </w:rPr>
      </w:pPr>
    </w:p>
    <w:p w14:paraId="53DF5A9E" w14:textId="77777777" w:rsidR="008409E4" w:rsidRDefault="00000000" w:rsidP="00B60610">
      <w:pPr>
        <w:spacing w:after="30" w:line="259" w:lineRule="auto"/>
        <w:ind w:left="280" w:hanging="560"/>
        <w:jc w:val="both"/>
        <w:rPr>
          <w:rFonts w:ascii="Georgia" w:eastAsia="Georgia" w:hAnsi="Georgia" w:cs="Georgia"/>
          <w:sz w:val="18"/>
          <w:szCs w:val="18"/>
        </w:rPr>
      </w:pPr>
      <w:r>
        <w:rPr>
          <w:rFonts w:ascii="Georgia" w:eastAsia="Georgia" w:hAnsi="Georgia" w:cs="Georgia"/>
          <w:sz w:val="18"/>
          <w:szCs w:val="18"/>
        </w:rPr>
        <w:t xml:space="preserve">27. Pellicori SF. Spectral properties of the Shroud of Turin. Applied Optics. 1980;19(12):1913–1920. doi:10.1364/AO.19.001913.</w:t>
      </w:r>
    </w:p>
    <w:p w14:paraId="3AA452B7" w14:textId="77777777" w:rsidR="008409E4" w:rsidRDefault="008409E4" w:rsidP="00B60610">
      <w:pPr>
        <w:spacing w:after="30" w:line="259" w:lineRule="auto"/>
        <w:ind w:left="280" w:hanging="560"/>
        <w:jc w:val="both"/>
        <w:rPr>
          <w:rFonts w:ascii="Georgia" w:eastAsia="Georgia" w:hAnsi="Georgia" w:cs="Georgia"/>
          <w:sz w:val="18"/>
          <w:szCs w:val="18"/>
        </w:rPr>
      </w:pPr>
    </w:p>
    <w:p w14:paraId="4D05FEDC" w14:textId="77777777" w:rsidR="008409E4" w:rsidRDefault="00000000" w:rsidP="00B60610">
      <w:pPr>
        <w:spacing w:after="30" w:line="259" w:lineRule="auto"/>
        <w:ind w:left="280" w:hanging="560"/>
        <w:jc w:val="both"/>
        <w:rPr>
          <w:rFonts w:ascii="Georgia" w:eastAsia="Georgia" w:hAnsi="Georgia" w:cs="Georgia"/>
          <w:sz w:val="18"/>
          <w:szCs w:val="18"/>
        </w:rPr>
      </w:pPr>
      <w:r>
        <w:rPr>
          <w:rFonts w:ascii="Georgia" w:eastAsia="Georgia" w:hAnsi="Georgia" w:cs="Georgia"/>
          <w:sz w:val="18"/>
          <w:szCs w:val="18"/>
        </w:rPr>
        <w:t xml:space="preserve">28. Brutin D, Sobac B, Loquet B, Sampol J. Pattern formation in drying drops of blood. Journal of Fluid Mechanics. 2011;667:85–95.</w:t>
      </w:r>
    </w:p>
    <w:p w14:paraId="7A0F2997" w14:textId="77777777" w:rsidR="008409E4" w:rsidRDefault="008409E4" w:rsidP="00B60610">
      <w:pPr>
        <w:spacing w:after="30" w:line="259" w:lineRule="auto"/>
        <w:ind w:left="280" w:hanging="560"/>
        <w:jc w:val="both"/>
        <w:rPr>
          <w:rFonts w:ascii="Georgia" w:eastAsia="Georgia" w:hAnsi="Georgia" w:cs="Georgia"/>
          <w:sz w:val="18"/>
          <w:szCs w:val="18"/>
        </w:rPr>
      </w:pPr>
    </w:p>
    <w:p w14:paraId="32BB86BC" w14:textId="77777777" w:rsidR="008409E4" w:rsidRDefault="00000000" w:rsidP="00B60610">
      <w:pPr>
        <w:spacing w:after="30" w:line="259" w:lineRule="auto"/>
        <w:ind w:left="280" w:hanging="560"/>
        <w:jc w:val="both"/>
        <w:rPr>
          <w:rFonts w:ascii="Georgia" w:eastAsia="Georgia" w:hAnsi="Georgia" w:cs="Georgia"/>
          <w:sz w:val="18"/>
          <w:szCs w:val="18"/>
        </w:rPr>
      </w:pPr>
      <w:r>
        <w:rPr>
          <w:rFonts w:ascii="Georgia" w:eastAsia="Georgia" w:hAnsi="Georgia" w:cs="Georgia"/>
          <w:sz w:val="18"/>
          <w:szCs w:val="18"/>
        </w:rPr>
        <w:t xml:space="preserve">29. Donaldson AE, Lamont IL. Biochemistry changes that occur after death: potential markers for determining post-mortem interval. PLoS ONE. 2013;8(11):e82011.</w:t>
      </w:r>
    </w:p>
    <w:p w14:paraId="5F2C9DF5" w14:textId="77777777" w:rsidR="008409E4" w:rsidRDefault="008409E4" w:rsidP="00B60610">
      <w:pPr>
        <w:spacing w:after="30" w:line="259" w:lineRule="auto"/>
        <w:ind w:left="280" w:hanging="560"/>
        <w:jc w:val="both"/>
        <w:rPr>
          <w:rFonts w:ascii="Georgia" w:eastAsia="Georgia" w:hAnsi="Georgia" w:cs="Georgia"/>
          <w:sz w:val="18"/>
          <w:szCs w:val="18"/>
        </w:rPr>
      </w:pPr>
    </w:p>
    <w:p w14:paraId="4DB49AAB" w14:textId="77777777" w:rsidR="008409E4" w:rsidRDefault="00000000" w:rsidP="00B60610">
      <w:pPr>
        <w:spacing w:after="30" w:line="259" w:lineRule="auto"/>
        <w:ind w:left="280" w:hanging="560"/>
        <w:jc w:val="both"/>
        <w:rPr>
          <w:rFonts w:ascii="Georgia" w:eastAsia="Georgia" w:hAnsi="Georgia" w:cs="Georgia"/>
          <w:sz w:val="18"/>
          <w:szCs w:val="18"/>
        </w:rPr>
      </w:pPr>
      <w:r>
        <w:rPr>
          <w:rFonts w:ascii="Georgia" w:eastAsia="Georgia" w:hAnsi="Georgia" w:cs="Georgia"/>
          <w:sz w:val="18"/>
          <w:szCs w:val="18"/>
        </w:rPr>
        <w:t xml:space="preserve">30. Ullman M, Kletzerman M, Oron A, et al. Year-round hourly temperature and humidity sensor readings from arid caves, Judean Desert, Israel. Scientific Data. 2026;13:105. doi:10.1038/s41597-025-06420-8. Peer-reviewed Data Descriptor; underlying dataset archived at Zenodo, doi:10.5281/zenodo.17505739.</w:t>
      </w:r>
    </w:p>
    <w:p w14:paraId="249E63B8" w14:textId="77777777" w:rsidR="008409E4" w:rsidRDefault="008409E4" w:rsidP="00B60610">
      <w:pPr>
        <w:spacing w:after="30" w:line="259" w:lineRule="auto"/>
        <w:ind w:left="280" w:hanging="560"/>
        <w:jc w:val="both"/>
        <w:rPr>
          <w:rFonts w:ascii="Georgia" w:eastAsia="Georgia" w:hAnsi="Georgia" w:cs="Georgia"/>
          <w:sz w:val="18"/>
          <w:szCs w:val="18"/>
        </w:rPr>
      </w:pPr>
    </w:p>
    <w:p w14:paraId="6B645C43" w14:textId="77777777" w:rsidR="008409E4" w:rsidRDefault="00000000" w:rsidP="00B60610">
      <w:pPr>
        <w:spacing w:after="30" w:line="259" w:lineRule="auto"/>
        <w:ind w:left="280" w:hanging="560"/>
        <w:jc w:val="both"/>
        <w:rPr>
          <w:rFonts w:ascii="Georgia" w:eastAsia="Georgia" w:hAnsi="Georgia" w:cs="Georgia"/>
          <w:sz w:val="18"/>
          <w:szCs w:val="18"/>
        </w:rPr>
      </w:pPr>
      <w:r>
        <w:rPr>
          <w:rFonts w:ascii="Georgia" w:eastAsia="Georgia" w:hAnsi="Georgia" w:cs="Georgia"/>
          <w:sz w:val="18"/>
          <w:szCs w:val="18"/>
        </w:rPr>
        <w:t xml:space="preserve">31. Adler AD. The Orphaned Manuscript: A Gathering of Publications on the Shroud of Turin. Effata Editrice; 2002.</w:t>
      </w:r>
    </w:p>
    <w:p w14:paraId="04346F0E" w14:textId="77777777" w:rsidR="008409E4" w:rsidRDefault="008409E4" w:rsidP="00B60610">
      <w:pPr>
        <w:spacing w:after="30" w:line="259" w:lineRule="auto"/>
        <w:ind w:left="280" w:hanging="560"/>
        <w:jc w:val="both"/>
        <w:rPr>
          <w:rFonts w:ascii="Georgia" w:eastAsia="Georgia" w:hAnsi="Georgia" w:cs="Georgia"/>
          <w:sz w:val="18"/>
          <w:szCs w:val="18"/>
        </w:rPr>
      </w:pPr>
    </w:p>
    <w:p w14:paraId="6A95112C" w14:textId="77777777" w:rsidR="008409E4" w:rsidRDefault="00000000" w:rsidP="00B60610">
      <w:pPr>
        <w:spacing w:after="30" w:line="259" w:lineRule="auto"/>
        <w:ind w:left="280" w:hanging="560"/>
        <w:jc w:val="both"/>
        <w:rPr>
          <w:rFonts w:ascii="Georgia" w:eastAsia="Georgia" w:hAnsi="Georgia" w:cs="Georgia"/>
          <w:sz w:val="18"/>
          <w:szCs w:val="18"/>
        </w:rPr>
      </w:pPr>
      <w:r>
        <w:rPr>
          <w:rFonts w:ascii="Georgia" w:eastAsia="Georgia" w:hAnsi="Georgia" w:cs="Georgia"/>
          <w:sz w:val="18"/>
          <w:szCs w:val="18"/>
        </w:rPr>
        <w:t>32. Kearse KP. Inadequacies in serological ABO typing of ancient artifacts: the Shroud of Turin as a case example. International Journal of Forensic Sciences. 2023;8(3). doi:10.23880/ijfsc-16000326.</w:t>
      </w:r>
    </w:p>
    <w:p w14:paraId="73C0C1D0" w14:textId="77777777" w:rsidR="008409E4" w:rsidRDefault="008409E4" w:rsidP="00B60610">
      <w:pPr>
        <w:spacing w:after="30" w:line="259" w:lineRule="auto"/>
        <w:ind w:left="280" w:hanging="560"/>
        <w:jc w:val="both"/>
        <w:rPr>
          <w:rFonts w:ascii="Georgia" w:eastAsia="Georgia" w:hAnsi="Georgia" w:cs="Georgia"/>
          <w:sz w:val="18"/>
          <w:szCs w:val="18"/>
        </w:rPr>
      </w:pPr>
    </w:p>
    <w:p w14:paraId="44D839EE" w14:textId="77777777" w:rsidR="008409E4" w:rsidRDefault="00000000" w:rsidP="00B60610">
      <w:pPr>
        <w:spacing w:after="30" w:line="259" w:lineRule="auto"/>
        <w:ind w:left="280" w:hanging="560"/>
        <w:jc w:val="both"/>
        <w:rPr>
          <w:rFonts w:ascii="Georgia" w:eastAsia="Georgia" w:hAnsi="Georgia" w:cs="Georgia"/>
          <w:sz w:val="18"/>
          <w:szCs w:val="18"/>
        </w:rPr>
      </w:pPr>
      <w:r>
        <w:rPr>
          <w:rFonts w:ascii="Georgia" w:eastAsia="Georgia" w:hAnsi="Georgia" w:cs="Georgia"/>
          <w:sz w:val="18"/>
          <w:szCs w:val="18"/>
        </w:rPr>
        <w:t>33. Kearse KP. Major drawbacks of blood species analysis using human polyclonal MNS antisera: the Turin Shroud as a case example. International Journal of Forensic Sciences. 2024;9(4). doi:10.23880/ijfsc-16000413.</w:t>
      </w:r>
    </w:p>
    <w:p w14:paraId="3633328F" w14:textId="77777777" w:rsidR="008409E4" w:rsidRDefault="008409E4" w:rsidP="00B60610">
      <w:pPr>
        <w:spacing w:after="30" w:line="259" w:lineRule="auto"/>
        <w:ind w:left="280" w:hanging="560"/>
        <w:jc w:val="both"/>
        <w:rPr>
          <w:rFonts w:ascii="Georgia" w:eastAsia="Georgia" w:hAnsi="Georgia" w:cs="Georgia"/>
          <w:sz w:val="18"/>
          <w:szCs w:val="18"/>
        </w:rPr>
      </w:pPr>
    </w:p>
    <w:p w14:paraId="65275C48" w14:textId="77777777" w:rsidR="008409E4" w:rsidRDefault="00000000" w:rsidP="00B60610">
      <w:pPr>
        <w:spacing w:after="30" w:line="259" w:lineRule="auto"/>
        <w:ind w:left="280" w:hanging="560"/>
        <w:jc w:val="both"/>
        <w:rPr>
          <w:rFonts w:ascii="Georgia" w:eastAsia="Georgia" w:hAnsi="Georgia" w:cs="Georgia"/>
          <w:sz w:val="18"/>
          <w:szCs w:val="18"/>
        </w:rPr>
      </w:pPr>
      <w:r>
        <w:rPr>
          <w:rFonts w:ascii="Georgia" w:eastAsia="Georgia" w:hAnsi="Georgia" w:cs="Georgia"/>
          <w:sz w:val="18"/>
          <w:szCs w:val="18"/>
        </w:rPr>
        <w:t xml:space="preserve">34. Kearse KP. Ultraviolet fluorescent detection of elevated bilirubin in dried blood serum. Journal of Forensic Science and Research. 2022;6:49–52. doi:10.29328/journal.jfsr.1001036.</w:t>
      </w:r>
    </w:p>
    <w:p w14:paraId="320C292C" w14:textId="77777777" w:rsidR="008409E4" w:rsidRDefault="008409E4" w:rsidP="00B60610">
      <w:pPr>
        <w:spacing w:after="30" w:line="259" w:lineRule="auto"/>
        <w:ind w:left="280" w:hanging="560"/>
        <w:jc w:val="both"/>
        <w:rPr>
          <w:rFonts w:ascii="Georgia" w:eastAsia="Georgia" w:hAnsi="Georgia" w:cs="Georgia"/>
          <w:sz w:val="18"/>
          <w:szCs w:val="18"/>
        </w:rPr>
      </w:pPr>
    </w:p>
    <w:p w14:paraId="17944FDC" w14:textId="77777777" w:rsidR="008409E4" w:rsidRDefault="00000000" w:rsidP="00B60610">
      <w:pPr>
        <w:spacing w:after="30" w:line="259" w:lineRule="auto"/>
        <w:ind w:left="280" w:hanging="560"/>
        <w:jc w:val="both"/>
        <w:rPr>
          <w:rFonts w:ascii="Georgia" w:eastAsia="Georgia" w:hAnsi="Georgia" w:cs="Georgia"/>
          <w:sz w:val="18"/>
          <w:szCs w:val="18"/>
        </w:rPr>
      </w:pPr>
      <w:r>
        <w:rPr>
          <w:rFonts w:ascii="Georgia" w:eastAsia="Georgia" w:hAnsi="Georgia" w:cs="Georgia"/>
          <w:sz w:val="18"/>
          <w:szCs w:val="18"/>
        </w:rPr>
        <w:t xml:space="preserve">35. Baima Bollone PL, Jorio M, Massaro AL. Identificazione del gruppo delle tracce di sangue umano sulla Sindone. Sindon, Quaderno. 1982;31:5–9.</w:t>
      </w:r>
    </w:p>
    <w:p w14:paraId="2FC85A5A" w14:textId="77777777" w:rsidR="008409E4" w:rsidRDefault="008409E4" w:rsidP="00B60610">
      <w:pPr>
        <w:spacing w:after="30" w:line="259" w:lineRule="auto"/>
        <w:ind w:left="280" w:hanging="560"/>
        <w:jc w:val="both"/>
        <w:rPr>
          <w:rFonts w:ascii="Georgia" w:eastAsia="Georgia" w:hAnsi="Georgia" w:cs="Georgia"/>
          <w:sz w:val="18"/>
          <w:szCs w:val="18"/>
        </w:rPr>
      </w:pPr>
    </w:p>
    <w:p w14:paraId="343F07B6" w14:textId="77777777" w:rsidR="008409E4" w:rsidRDefault="00000000" w:rsidP="00B60610">
      <w:pPr>
        <w:spacing w:after="30" w:line="259" w:lineRule="auto"/>
        <w:ind w:left="280" w:hanging="560"/>
        <w:jc w:val="both"/>
        <w:rPr>
          <w:rFonts w:ascii="Georgia" w:eastAsia="Georgia" w:hAnsi="Georgia" w:cs="Georgia"/>
          <w:sz w:val="18"/>
          <w:szCs w:val="18"/>
        </w:rPr>
      </w:pPr>
      <w:r>
        <w:rPr>
          <w:rFonts w:ascii="Georgia" w:eastAsia="Georgia" w:hAnsi="Georgia" w:cs="Georgia"/>
          <w:sz w:val="18"/>
          <w:szCs w:val="18"/>
        </w:rPr>
        <w:t>36. Kearse KP. The relics of Jesus and Eucharistic miracles: scientific analysis of shared AB blood type. Forensic Science, Medicine and Pathology. 2025;21(3):1507–1510. doi:10.1007/s12024-024-00915-3.</w:t>
      </w:r>
    </w:p>
    <w:p w14:paraId="7117A2DC" w14:textId="77777777" w:rsidR="008409E4" w:rsidRDefault="008409E4" w:rsidP="00B60610">
      <w:pPr>
        <w:spacing w:after="30" w:line="259" w:lineRule="auto"/>
        <w:ind w:left="280" w:hanging="560"/>
        <w:jc w:val="both"/>
        <w:rPr>
          <w:rFonts w:ascii="Georgia" w:eastAsia="Georgia" w:hAnsi="Georgia" w:cs="Georgia"/>
          <w:sz w:val="18"/>
          <w:szCs w:val="18"/>
        </w:rPr>
      </w:pPr>
    </w:p>
    <w:p w14:paraId="32CFD8A5" w14:textId="77777777" w:rsidR="008409E4" w:rsidRDefault="00000000" w:rsidP="00B60610">
      <w:pPr>
        <w:spacing w:after="30" w:line="259" w:lineRule="auto"/>
        <w:ind w:left="280" w:hanging="560"/>
        <w:jc w:val="both"/>
        <w:rPr>
          <w:rFonts w:ascii="Georgia" w:eastAsia="Georgia" w:hAnsi="Georgia" w:cs="Georgia"/>
          <w:sz w:val="18"/>
          <w:szCs w:val="18"/>
        </w:rPr>
      </w:pPr>
      <w:r>
        <w:rPr>
          <w:rFonts w:ascii="Georgia" w:eastAsia="Georgia" w:hAnsi="Georgia" w:cs="Georgia"/>
          <w:sz w:val="18"/>
          <w:szCs w:val="18"/>
        </w:rPr>
        <w:t xml:space="preserve">37. Frumkin A, Aharon S, Davidovich U, et al. Old and recent processes in a warm and humid desert hypogene cave: 'A'rak Na'asane, Israel. International Journal of Speleology. 2018;47(3):307–321. doi:10.5038/1827-806X.47.3.2178.</w:t>
      </w:r>
    </w:p>
    <w:p w14:paraId="6AB6FC31" w14:textId="77777777" w:rsidR="008409E4" w:rsidRDefault="008409E4" w:rsidP="00B60610">
      <w:pPr>
        <w:jc w:val="both"/>
      </w:pPr>
    </w:p>
    <w:sectPr w:rsidR="008409E4">
      <w:headerReference w:type="default" r:id="rId10"/>
      <w:footerReference w:type="default" r:id="rId11"/>
      <w:pgSz w:w="12240" w:h="15840"/>
      <w:pgMar w:top="1080" w:right="1160" w:bottom="1080" w:left="116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52050" w14:textId="77777777" w:rsidR="00C67177" w:rsidRDefault="00C67177">
      <w:pPr>
        <w:spacing w:line="240" w:lineRule="auto"/>
      </w:pPr>
      <w:r>
        <w:separator/>
      </w:r>
    </w:p>
  </w:endnote>
  <w:endnote w:type="continuationSeparator" w:id="0">
    <w:p w14:paraId="4465E0BB" w14:textId="77777777" w:rsidR="00C67177" w:rsidRDefault="00C671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D784C7E3-1208-4FF0-93D3-770C1F14B580}"/>
    <w:embedBold r:id="rId2" w:fontKey="{0B83360D-C5D1-40A8-8B09-A3A21B0BFE0B}"/>
    <w:embedItalic r:id="rId3" w:fontKey="{6C8E34A9-1F05-415A-AEBA-5B09348BFBDA}"/>
  </w:font>
  <w:font w:name="Calibri">
    <w:panose1 w:val="020F0502020204030204"/>
    <w:charset w:val="00"/>
    <w:family w:val="swiss"/>
    <w:pitch w:val="variable"/>
    <w:sig w:usb0="E4002EFF" w:usb1="C200247B" w:usb2="00000009" w:usb3="00000000" w:csb0="000001FF" w:csb1="00000000"/>
    <w:embedRegular r:id="rId4" w:fontKey="{D7B949CE-DDE0-4DE2-ABCE-19E0716E5ECB}"/>
  </w:font>
  <w:font w:name="Cambria">
    <w:panose1 w:val="02040503050406030204"/>
    <w:charset w:val="00"/>
    <w:family w:val="roman"/>
    <w:pitch w:val="variable"/>
    <w:sig w:usb0="E00006FF" w:usb1="420024FF" w:usb2="02000000" w:usb3="00000000" w:csb0="0000019F" w:csb1="00000000"/>
    <w:embedRegular r:id="rId5" w:fontKey="{B42793D7-1AB4-4271-A44F-ED5437F16DC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4EF26" w14:textId="77777777" w:rsidR="008409E4" w:rsidRDefault="00000000">
    <w:pPr>
      <w:pBdr>
        <w:top w:val="single" w:sz="6" w:space="3" w:color="8B7852"/>
      </w:pBdr>
      <w:spacing w:before="60"/>
      <w:jc w:val="center"/>
      <w:rPr>
        <w:rFonts w:ascii="Georgia" w:eastAsia="Georgia" w:hAnsi="Georgia" w:cs="Georgia"/>
        <w:color w:val="614D45"/>
        <w:sz w:val="16"/>
        <w:szCs w:val="16"/>
      </w:rPr>
    </w:pPr>
    <w:r>
      <w:rPr>
        <w:rFonts w:ascii="Georgia" w:eastAsia="Georgia" w:hAnsi="Georgia" w:cs="Georgia"/>
        <w:color w:val="614D45"/>
        <w:sz w:val="16"/>
        <w:szCs w:val="16"/>
      </w:rPr>
      <w:t>OTANGELO GRASSO ·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4896B" w14:textId="77777777" w:rsidR="00C67177" w:rsidRDefault="00C67177">
      <w:pPr>
        <w:spacing w:line="240" w:lineRule="auto"/>
      </w:pPr>
      <w:r>
        <w:separator/>
      </w:r>
    </w:p>
  </w:footnote>
  <w:footnote w:type="continuationSeparator" w:id="0">
    <w:p w14:paraId="0869CE2C" w14:textId="77777777" w:rsidR="00C67177" w:rsidRDefault="00C671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F28D9" w14:textId="77777777" w:rsidR="008409E4" w:rsidRDefault="00000000">
    <w:pPr>
      <w:pBdr>
        <w:bottom w:val="single" w:sz="6" w:space="3" w:color="8B7852"/>
      </w:pBdr>
      <w:spacing w:after="60"/>
      <w:jc w:val="center"/>
      <w:rPr>
        <w:rFonts w:ascii="Georgia" w:eastAsia="Georgia" w:hAnsi="Georgia" w:cs="Georgia"/>
        <w:color w:val="614D45"/>
        <w:sz w:val="16"/>
        <w:szCs w:val="16"/>
      </w:rPr>
    </w:pPr>
    <w:r>
      <w:rPr>
        <w:rFonts w:ascii="Georgia" w:eastAsia="Georgia" w:hAnsi="Georgia" w:cs="Georgia"/>
        <w:color w:val="614D45"/>
        <w:sz w:val="16"/>
        <w:szCs w:val="16"/>
      </w:rPr>
      <w:t>BLOOD TRANSFER, SERUM HALOS, AND POSTMORTEM FLOW — GRASSO 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09E4"/>
    <w:rsid w:val="00745570"/>
    <w:rsid w:val="008409E4"/>
    <w:rsid w:val="00960D87"/>
    <w:rsid w:val="00B60610"/>
    <w:rsid w:val="00C20465"/>
    <w:rsid w:val="00C6717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4F8E6"/>
  <w15:docId w15:val="{26D9A328-B8EA-463B-9A7F-59942F7AA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pt-B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11296</Words>
  <Characters>61003</Characters>
  <Application>Microsoft Office Word</Application>
  <DocSecurity>0</DocSecurity>
  <Lines>508</Lines>
  <Paragraphs>144</Paragraphs>
  <ScaleCrop>false</ScaleCrop>
  <Company/>
  <LinksUpToDate>false</LinksUpToDate>
  <CharactersWithSpaces>72155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Leila Consuelo Lelis Caetano Grasso</cp:lastModifiedBy>
  <cp:revision>2</cp:revision>
  <dcterms:created xsi:type="dcterms:W3CDTF">2026-07-18T22:48:00Z</dcterms:created>
  <dcterms:modified xsi:type="dcterms:W3CDTF">2026-07-18T22:48:00Z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662cd1cf-47c0-41e9-badd-47a3c36e6e97</vt:lpwstr>
  </property>
</Properties>
</file>